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0F1" w:rsidRPr="000161CB" w:rsidRDefault="008600F1" w:rsidP="008600F1">
      <w:pPr>
        <w:tabs>
          <w:tab w:val="clear" w:pos="284"/>
        </w:tabs>
        <w:spacing w:after="160" w:line="360" w:lineRule="auto"/>
        <w:ind w:left="360" w:hanging="360"/>
        <w:contextualSpacing/>
        <w:jc w:val="both"/>
        <w:rPr>
          <w:b/>
          <w:szCs w:val="24"/>
        </w:rPr>
      </w:pPr>
      <w:bookmarkStart w:id="0" w:name="_GoBack"/>
      <w:bookmarkEnd w:id="0"/>
      <w:r w:rsidRPr="000161CB">
        <w:rPr>
          <w:b/>
          <w:szCs w:val="24"/>
        </w:rPr>
        <w:t>Oversigt – åbent møde:</w:t>
      </w:r>
    </w:p>
    <w:p w:rsidR="008600F1" w:rsidRPr="000161CB" w:rsidRDefault="008600F1" w:rsidP="008600F1">
      <w:pPr>
        <w:tabs>
          <w:tab w:val="clear" w:pos="284"/>
          <w:tab w:val="left" w:pos="-3544"/>
        </w:tabs>
        <w:spacing w:after="240"/>
        <w:ind w:left="360" w:hanging="360"/>
        <w:contextualSpacing/>
        <w:jc w:val="both"/>
        <w:rPr>
          <w:b/>
          <w:szCs w:val="24"/>
          <w:u w:val="single"/>
          <w:lang w:eastAsia="ja-JP"/>
        </w:rPr>
      </w:pPr>
      <w:r w:rsidRPr="000161CB">
        <w:rPr>
          <w:b/>
          <w:bCs/>
          <w:szCs w:val="24"/>
        </w:rPr>
        <w:t>Punkt 01</w:t>
      </w:r>
      <w:r w:rsidRPr="000161CB">
        <w:rPr>
          <w:b/>
          <w:bCs/>
          <w:szCs w:val="24"/>
        </w:rPr>
        <w:tab/>
        <w:t>Godkendelse af dagsorden.</w:t>
      </w:r>
      <w:r w:rsidRPr="000161CB">
        <w:rPr>
          <w:b/>
          <w:szCs w:val="24"/>
          <w:u w:val="single"/>
          <w:lang w:eastAsia="ja-JP"/>
        </w:rPr>
        <w:t xml:space="preserve"> </w:t>
      </w:r>
    </w:p>
    <w:p w:rsidR="008600F1" w:rsidRPr="000161CB" w:rsidRDefault="008600F1" w:rsidP="008600F1">
      <w:pPr>
        <w:tabs>
          <w:tab w:val="clear" w:pos="284"/>
          <w:tab w:val="left" w:pos="-3544"/>
        </w:tabs>
        <w:spacing w:after="240"/>
        <w:ind w:left="360" w:hanging="360"/>
        <w:contextualSpacing/>
        <w:jc w:val="both"/>
        <w:rPr>
          <w:b/>
          <w:szCs w:val="24"/>
          <w:u w:val="single"/>
          <w:lang w:eastAsia="ja-JP"/>
        </w:rPr>
      </w:pPr>
    </w:p>
    <w:p w:rsidR="008600F1" w:rsidRPr="000161CB" w:rsidRDefault="009A4347" w:rsidP="008600F1">
      <w:pPr>
        <w:tabs>
          <w:tab w:val="clear" w:pos="284"/>
          <w:tab w:val="left" w:pos="-3544"/>
        </w:tabs>
        <w:spacing w:after="240"/>
        <w:ind w:left="360" w:hanging="360"/>
        <w:contextualSpacing/>
        <w:jc w:val="both"/>
        <w:rPr>
          <w:b/>
          <w:szCs w:val="24"/>
          <w:u w:val="single"/>
          <w:lang w:eastAsia="ja-JP"/>
        </w:rPr>
      </w:pPr>
      <w:r w:rsidRPr="000161CB">
        <w:rPr>
          <w:b/>
          <w:szCs w:val="24"/>
          <w:lang w:eastAsia="ja-JP"/>
        </w:rPr>
        <w:tab/>
      </w:r>
      <w:r w:rsidRPr="000161CB">
        <w:rPr>
          <w:b/>
          <w:szCs w:val="24"/>
          <w:lang w:eastAsia="ja-JP"/>
        </w:rPr>
        <w:tab/>
      </w:r>
      <w:r w:rsidR="008600F1" w:rsidRPr="000161CB">
        <w:rPr>
          <w:b/>
          <w:szCs w:val="24"/>
          <w:u w:val="single"/>
          <w:lang w:eastAsia="ja-JP"/>
        </w:rPr>
        <w:t>Økonomisager</w:t>
      </w:r>
    </w:p>
    <w:p w:rsidR="008600F1" w:rsidRPr="000161CB" w:rsidRDefault="008600F1" w:rsidP="008600F1">
      <w:pPr>
        <w:tabs>
          <w:tab w:val="clear" w:pos="284"/>
        </w:tabs>
        <w:spacing w:after="160" w:line="360" w:lineRule="auto"/>
        <w:ind w:left="360" w:hanging="360"/>
        <w:contextualSpacing/>
        <w:jc w:val="both"/>
        <w:rPr>
          <w:b/>
          <w:bCs/>
          <w:szCs w:val="24"/>
        </w:rPr>
      </w:pPr>
    </w:p>
    <w:p w:rsidR="008600F1" w:rsidRPr="000161CB" w:rsidRDefault="008600F1" w:rsidP="008600F1">
      <w:pPr>
        <w:tabs>
          <w:tab w:val="clear" w:pos="284"/>
        </w:tabs>
        <w:spacing w:after="160" w:line="360" w:lineRule="auto"/>
        <w:ind w:left="360" w:hanging="360"/>
        <w:contextualSpacing/>
        <w:jc w:val="both"/>
        <w:rPr>
          <w:b/>
          <w:bCs/>
          <w:szCs w:val="24"/>
        </w:rPr>
      </w:pPr>
      <w:r w:rsidRPr="000161CB">
        <w:rPr>
          <w:rFonts w:eastAsia="Calibri"/>
          <w:b/>
          <w:szCs w:val="22"/>
          <w:lang w:eastAsia="en-US"/>
        </w:rPr>
        <w:t>Punkt 02</w:t>
      </w:r>
      <w:r w:rsidR="00012228" w:rsidRPr="000161CB">
        <w:rPr>
          <w:rFonts w:eastAsia="Calibri"/>
          <w:b/>
          <w:szCs w:val="22"/>
          <w:lang w:eastAsia="en-US"/>
        </w:rPr>
        <w:tab/>
      </w:r>
      <w:r w:rsidR="00E301E7" w:rsidRPr="000161CB">
        <w:rPr>
          <w:rFonts w:eastAsia="Calibri"/>
          <w:b/>
          <w:szCs w:val="22"/>
          <w:lang w:eastAsia="en-US"/>
        </w:rPr>
        <w:t xml:space="preserve"> </w:t>
      </w:r>
      <w:r w:rsidR="00132C63" w:rsidRPr="000161CB">
        <w:rPr>
          <w:b/>
        </w:rPr>
        <w:t>Økonomirapport vedr. Område</w:t>
      </w:r>
      <w:r w:rsidR="007D5E1B" w:rsidRPr="000161CB">
        <w:rPr>
          <w:b/>
        </w:rPr>
        <w:t xml:space="preserve">t for Uddannelse i Sisimiut, </w:t>
      </w:r>
      <w:r w:rsidR="005665E4">
        <w:rPr>
          <w:b/>
        </w:rPr>
        <w:t>3. kvartal</w:t>
      </w:r>
      <w:r w:rsidR="007D5E1B" w:rsidRPr="000161CB">
        <w:rPr>
          <w:b/>
        </w:rPr>
        <w:t xml:space="preserve"> </w:t>
      </w:r>
      <w:r w:rsidR="00132C63" w:rsidRPr="000161CB">
        <w:rPr>
          <w:b/>
        </w:rPr>
        <w:t>2019</w:t>
      </w:r>
      <w:r w:rsidR="00257D65" w:rsidRPr="000161CB">
        <w:rPr>
          <w:b/>
        </w:rPr>
        <w:t>.</w:t>
      </w:r>
    </w:p>
    <w:p w:rsidR="008600F1" w:rsidRPr="000161CB" w:rsidRDefault="008600F1" w:rsidP="008600F1">
      <w:pPr>
        <w:tabs>
          <w:tab w:val="clear" w:pos="284"/>
        </w:tabs>
        <w:spacing w:after="160"/>
        <w:ind w:left="720" w:hanging="360"/>
        <w:contextualSpacing/>
        <w:jc w:val="both"/>
        <w:rPr>
          <w:rFonts w:eastAsia="Calibri"/>
          <w:b/>
          <w:szCs w:val="22"/>
          <w:lang w:eastAsia="en-US"/>
        </w:rPr>
      </w:pPr>
    </w:p>
    <w:p w:rsidR="00257D65" w:rsidRPr="000161CB" w:rsidRDefault="008600F1" w:rsidP="009E0D79">
      <w:pPr>
        <w:tabs>
          <w:tab w:val="clear" w:pos="284"/>
        </w:tabs>
        <w:spacing w:after="160"/>
        <w:contextualSpacing/>
        <w:jc w:val="both"/>
        <w:rPr>
          <w:b/>
          <w:szCs w:val="24"/>
        </w:rPr>
      </w:pPr>
      <w:r w:rsidRPr="000161CB">
        <w:rPr>
          <w:b/>
          <w:szCs w:val="24"/>
        </w:rPr>
        <w:t xml:space="preserve">Punkt 03 </w:t>
      </w:r>
      <w:r w:rsidR="00012228" w:rsidRPr="000161CB">
        <w:rPr>
          <w:b/>
          <w:szCs w:val="24"/>
        </w:rPr>
        <w:tab/>
      </w:r>
      <w:r w:rsidR="00E301E7" w:rsidRPr="008B2B2F">
        <w:rPr>
          <w:b/>
          <w:szCs w:val="24"/>
        </w:rPr>
        <w:t>Økonomirapport for Området for uddannel</w:t>
      </w:r>
      <w:r w:rsidR="005665E4" w:rsidRPr="008B2B2F">
        <w:rPr>
          <w:b/>
          <w:szCs w:val="24"/>
        </w:rPr>
        <w:t>se i Maniitsoq, 3. kvartal</w:t>
      </w:r>
      <w:r w:rsidR="007D5E1B" w:rsidRPr="008B2B2F">
        <w:rPr>
          <w:b/>
          <w:szCs w:val="24"/>
        </w:rPr>
        <w:t xml:space="preserve"> 2019</w:t>
      </w:r>
      <w:r w:rsidR="00E301E7" w:rsidRPr="008B2B2F">
        <w:rPr>
          <w:b/>
          <w:szCs w:val="24"/>
        </w:rPr>
        <w:t>.</w:t>
      </w:r>
    </w:p>
    <w:p w:rsidR="00672186" w:rsidRPr="000161CB" w:rsidRDefault="00672186" w:rsidP="009E0D79">
      <w:pPr>
        <w:tabs>
          <w:tab w:val="clear" w:pos="284"/>
        </w:tabs>
        <w:spacing w:after="160"/>
        <w:contextualSpacing/>
        <w:jc w:val="both"/>
        <w:rPr>
          <w:b/>
          <w:szCs w:val="24"/>
        </w:rPr>
      </w:pPr>
    </w:p>
    <w:p w:rsidR="007D6F18" w:rsidRPr="000161CB" w:rsidRDefault="007D6F18" w:rsidP="009E0D79">
      <w:pPr>
        <w:tabs>
          <w:tab w:val="clear" w:pos="284"/>
        </w:tabs>
        <w:spacing w:after="160"/>
        <w:contextualSpacing/>
        <w:jc w:val="both"/>
        <w:rPr>
          <w:b/>
          <w:szCs w:val="24"/>
        </w:rPr>
      </w:pPr>
    </w:p>
    <w:p w:rsidR="00257D65" w:rsidRPr="000161CB" w:rsidRDefault="00257D65" w:rsidP="009E0D79">
      <w:pPr>
        <w:tabs>
          <w:tab w:val="clear" w:pos="284"/>
        </w:tabs>
        <w:spacing w:after="160"/>
        <w:contextualSpacing/>
        <w:jc w:val="both"/>
        <w:rPr>
          <w:b/>
          <w:szCs w:val="24"/>
        </w:rPr>
      </w:pPr>
    </w:p>
    <w:p w:rsidR="00404585" w:rsidRPr="000161CB" w:rsidRDefault="00404585" w:rsidP="00404585">
      <w:pPr>
        <w:tabs>
          <w:tab w:val="clear" w:pos="284"/>
        </w:tabs>
        <w:spacing w:after="160"/>
        <w:ind w:firstLine="1304"/>
        <w:contextualSpacing/>
        <w:jc w:val="both"/>
        <w:rPr>
          <w:b/>
          <w:szCs w:val="24"/>
          <w:u w:val="single"/>
        </w:rPr>
      </w:pPr>
      <w:r w:rsidRPr="000161CB">
        <w:rPr>
          <w:b/>
          <w:szCs w:val="24"/>
          <w:u w:val="single"/>
        </w:rPr>
        <w:t>Generelle sager.</w:t>
      </w:r>
    </w:p>
    <w:p w:rsidR="00936149" w:rsidRPr="000161CB" w:rsidRDefault="00936149" w:rsidP="00257D65">
      <w:pPr>
        <w:rPr>
          <w:rFonts w:eastAsia="MS Gothic"/>
          <w:b/>
        </w:rPr>
      </w:pPr>
    </w:p>
    <w:p w:rsidR="0087477D" w:rsidRPr="00266B72" w:rsidRDefault="00742BB5" w:rsidP="00257D65">
      <w:pPr>
        <w:rPr>
          <w:rFonts w:eastAsia="MS Gothic"/>
          <w:b/>
        </w:rPr>
      </w:pPr>
      <w:r w:rsidRPr="000161CB">
        <w:rPr>
          <w:rFonts w:eastAsia="MS Gothic"/>
          <w:b/>
        </w:rPr>
        <w:t xml:space="preserve">Punkt </w:t>
      </w:r>
      <w:r w:rsidR="00672186" w:rsidRPr="000161CB">
        <w:rPr>
          <w:rFonts w:eastAsia="MS Gothic"/>
          <w:b/>
        </w:rPr>
        <w:t>0</w:t>
      </w:r>
      <w:r w:rsidR="005665E4">
        <w:rPr>
          <w:rFonts w:eastAsia="MS Gothic"/>
          <w:b/>
        </w:rPr>
        <w:t>4</w:t>
      </w:r>
      <w:r w:rsidR="0087477D" w:rsidRPr="000161CB">
        <w:rPr>
          <w:rFonts w:eastAsia="MS Gothic"/>
          <w:b/>
        </w:rPr>
        <w:tab/>
      </w:r>
      <w:r w:rsidR="005665E4" w:rsidRPr="00681BD7">
        <w:rPr>
          <w:b/>
        </w:rPr>
        <w:t>Kvalitetsrapport for skolerne</w:t>
      </w:r>
      <w:r w:rsidR="00F64D33" w:rsidRPr="00681BD7">
        <w:rPr>
          <w:b/>
        </w:rPr>
        <w:t>.</w:t>
      </w:r>
    </w:p>
    <w:p w:rsidR="00672186" w:rsidRPr="00266B72" w:rsidRDefault="00672186" w:rsidP="00257D65">
      <w:pPr>
        <w:rPr>
          <w:rFonts w:eastAsia="MS Gothic"/>
          <w:b/>
        </w:rPr>
      </w:pPr>
    </w:p>
    <w:p w:rsidR="00672186" w:rsidRPr="00266B72" w:rsidRDefault="005665E4" w:rsidP="00257D65">
      <w:pPr>
        <w:rPr>
          <w:rFonts w:eastAsia="MS Gothic"/>
          <w:b/>
        </w:rPr>
      </w:pPr>
      <w:r w:rsidRPr="00266B72">
        <w:rPr>
          <w:rFonts w:eastAsia="MS Gothic"/>
          <w:b/>
        </w:rPr>
        <w:t>Punkt 05</w:t>
      </w:r>
      <w:r w:rsidR="00672186" w:rsidRPr="00266B72">
        <w:rPr>
          <w:rFonts w:eastAsia="MS Gothic"/>
          <w:b/>
        </w:rPr>
        <w:t xml:space="preserve"> </w:t>
      </w:r>
      <w:r w:rsidR="00672186" w:rsidRPr="00266B72">
        <w:rPr>
          <w:rFonts w:eastAsia="MS Gothic"/>
          <w:b/>
        </w:rPr>
        <w:tab/>
      </w:r>
      <w:r w:rsidRPr="004D7479">
        <w:rPr>
          <w:b/>
        </w:rPr>
        <w:t>Skolehjemsamarbejde</w:t>
      </w:r>
      <w:r w:rsidR="00F64D33" w:rsidRPr="004D7479">
        <w:rPr>
          <w:b/>
        </w:rPr>
        <w:t>.</w:t>
      </w:r>
    </w:p>
    <w:p w:rsidR="005665E4" w:rsidRPr="00266B72" w:rsidRDefault="005665E4" w:rsidP="00257D65">
      <w:pPr>
        <w:rPr>
          <w:rFonts w:eastAsia="MS Gothic"/>
          <w:b/>
        </w:rPr>
      </w:pPr>
    </w:p>
    <w:p w:rsidR="00672186" w:rsidRPr="00C66437" w:rsidRDefault="008817BA" w:rsidP="00266B72">
      <w:pPr>
        <w:ind w:left="1304" w:hanging="1304"/>
        <w:rPr>
          <w:rFonts w:eastAsia="MS Gothic"/>
          <w:b/>
          <w:color w:val="FF0000"/>
        </w:rPr>
      </w:pPr>
      <w:r>
        <w:rPr>
          <w:rFonts w:eastAsia="MS Gothic"/>
          <w:b/>
        </w:rPr>
        <w:t>Punkt 06</w:t>
      </w:r>
      <w:r w:rsidR="00672186" w:rsidRPr="00266B72">
        <w:rPr>
          <w:rFonts w:eastAsia="MS Gothic"/>
          <w:b/>
        </w:rPr>
        <w:tab/>
      </w:r>
      <w:r w:rsidR="00266B72" w:rsidRPr="006E60C4">
        <w:rPr>
          <w:b/>
        </w:rPr>
        <w:t xml:space="preserve">Forslag til ordensregler for udlejning af </w:t>
      </w:r>
      <w:proofErr w:type="spellStart"/>
      <w:r w:rsidR="00266B72" w:rsidRPr="006E60C4">
        <w:rPr>
          <w:b/>
        </w:rPr>
        <w:t>Amerdlok</w:t>
      </w:r>
      <w:proofErr w:type="spellEnd"/>
      <w:r w:rsidR="00266B72" w:rsidRPr="006E60C4">
        <w:rPr>
          <w:b/>
        </w:rPr>
        <w:t>´ i Sisimiut og Den gamle Kirke i Maniitsoq.</w:t>
      </w:r>
    </w:p>
    <w:p w:rsidR="005665E4" w:rsidRPr="00266B72" w:rsidRDefault="005665E4" w:rsidP="00257D65">
      <w:pPr>
        <w:rPr>
          <w:rFonts w:eastAsia="MS Gothic"/>
          <w:b/>
        </w:rPr>
      </w:pPr>
    </w:p>
    <w:p w:rsidR="005665E4" w:rsidRPr="00445DFA" w:rsidRDefault="005665E4" w:rsidP="00257D65">
      <w:pPr>
        <w:rPr>
          <w:rFonts w:eastAsia="MS Gothic"/>
          <w:b/>
        </w:rPr>
      </w:pPr>
      <w:r w:rsidRPr="00266B72">
        <w:rPr>
          <w:rFonts w:eastAsia="MS Gothic"/>
          <w:b/>
        </w:rPr>
        <w:t>Punkt 0</w:t>
      </w:r>
      <w:r w:rsidR="008817BA">
        <w:rPr>
          <w:rFonts w:eastAsia="MS Gothic"/>
          <w:b/>
        </w:rPr>
        <w:t>7</w:t>
      </w:r>
      <w:r w:rsidR="00266B72" w:rsidRPr="00266B72">
        <w:rPr>
          <w:rFonts w:eastAsia="MS Gothic"/>
          <w:b/>
        </w:rPr>
        <w:tab/>
      </w:r>
      <w:r w:rsidR="00266B72" w:rsidRPr="00445DFA">
        <w:rPr>
          <w:b/>
        </w:rPr>
        <w:t>Revisionsberetning nr. 28 &amp; nr. 31 for Qeqqata Kommunia</w:t>
      </w:r>
      <w:r w:rsidR="00F64D33">
        <w:rPr>
          <w:b/>
        </w:rPr>
        <w:t>.</w:t>
      </w:r>
    </w:p>
    <w:p w:rsidR="005665E4" w:rsidRPr="00445DFA" w:rsidRDefault="005665E4" w:rsidP="00257D65">
      <w:pPr>
        <w:rPr>
          <w:rFonts w:eastAsia="MS Gothic"/>
          <w:b/>
        </w:rPr>
      </w:pPr>
    </w:p>
    <w:p w:rsidR="005665E4" w:rsidRPr="00445DFA" w:rsidRDefault="008817BA" w:rsidP="00257D65">
      <w:pPr>
        <w:rPr>
          <w:rFonts w:eastAsia="MS Gothic"/>
          <w:b/>
        </w:rPr>
      </w:pPr>
      <w:r>
        <w:rPr>
          <w:rFonts w:eastAsia="MS Gothic"/>
          <w:b/>
        </w:rPr>
        <w:t>Punkt 08</w:t>
      </w:r>
      <w:r w:rsidR="00266B72" w:rsidRPr="00445DFA">
        <w:rPr>
          <w:rFonts w:eastAsia="MS Gothic"/>
          <w:b/>
        </w:rPr>
        <w:tab/>
      </w:r>
      <w:r w:rsidR="00266B72" w:rsidRPr="00445DFA">
        <w:rPr>
          <w:b/>
        </w:rPr>
        <w:t>Daginstitutions takster</w:t>
      </w:r>
      <w:r w:rsidR="00F64D33">
        <w:rPr>
          <w:b/>
        </w:rPr>
        <w:t>.</w:t>
      </w:r>
    </w:p>
    <w:p w:rsidR="005665E4" w:rsidRPr="00445DFA" w:rsidRDefault="005665E4" w:rsidP="00257D65">
      <w:pPr>
        <w:rPr>
          <w:rFonts w:eastAsia="MS Gothic"/>
          <w:b/>
        </w:rPr>
      </w:pPr>
    </w:p>
    <w:p w:rsidR="00672186" w:rsidRPr="00445DFA" w:rsidRDefault="008817BA" w:rsidP="00266B72">
      <w:pPr>
        <w:ind w:left="1304" w:hanging="1304"/>
        <w:rPr>
          <w:rFonts w:eastAsia="MS Gothic"/>
          <w:b/>
        </w:rPr>
      </w:pPr>
      <w:r>
        <w:rPr>
          <w:rFonts w:eastAsia="MS Gothic"/>
          <w:b/>
        </w:rPr>
        <w:t>Punkt 09</w:t>
      </w:r>
      <w:r w:rsidR="00672186" w:rsidRPr="00445DFA">
        <w:rPr>
          <w:rFonts w:eastAsia="MS Gothic"/>
          <w:b/>
        </w:rPr>
        <w:tab/>
      </w:r>
      <w:r w:rsidR="00266B72" w:rsidRPr="00445DFA">
        <w:rPr>
          <w:b/>
        </w:rPr>
        <w:t>Orientering om fagmøde mellem fagchefer, pædagogisk konsulenter/ koordinator på førskoleområdet</w:t>
      </w:r>
      <w:r w:rsidR="00F64D33">
        <w:rPr>
          <w:b/>
        </w:rPr>
        <w:t>.</w:t>
      </w:r>
    </w:p>
    <w:p w:rsidR="00566E67" w:rsidRPr="00445DFA" w:rsidRDefault="00566E67" w:rsidP="00566E67">
      <w:pPr>
        <w:jc w:val="both"/>
        <w:rPr>
          <w:b/>
          <w:szCs w:val="24"/>
        </w:rPr>
      </w:pPr>
    </w:p>
    <w:p w:rsidR="00936149" w:rsidRPr="00445DFA" w:rsidRDefault="00936149" w:rsidP="00257D65">
      <w:pPr>
        <w:rPr>
          <w:rFonts w:eastAsia="MS Gothic"/>
          <w:b/>
        </w:rPr>
      </w:pPr>
    </w:p>
    <w:p w:rsidR="00257D65" w:rsidRPr="00445DFA" w:rsidRDefault="00257D65" w:rsidP="00257D65">
      <w:pPr>
        <w:rPr>
          <w:rFonts w:eastAsia="MS Gothic"/>
          <w:b/>
        </w:rPr>
      </w:pPr>
    </w:p>
    <w:p w:rsidR="007D5E1B" w:rsidRPr="00445DFA" w:rsidRDefault="007D5E1B" w:rsidP="007D5E1B">
      <w:pPr>
        <w:tabs>
          <w:tab w:val="clear" w:pos="284"/>
        </w:tabs>
        <w:spacing w:after="160"/>
        <w:ind w:firstLine="1304"/>
        <w:contextualSpacing/>
        <w:jc w:val="both"/>
        <w:rPr>
          <w:b/>
          <w:szCs w:val="24"/>
          <w:u w:val="single"/>
        </w:rPr>
      </w:pPr>
      <w:r w:rsidRPr="00445DFA">
        <w:rPr>
          <w:b/>
          <w:szCs w:val="24"/>
          <w:u w:val="single"/>
        </w:rPr>
        <w:t>Orienteringssager.</w:t>
      </w:r>
    </w:p>
    <w:p w:rsidR="00C77310" w:rsidRPr="00445DFA" w:rsidRDefault="00C77310" w:rsidP="007D5E1B">
      <w:pPr>
        <w:tabs>
          <w:tab w:val="clear" w:pos="284"/>
        </w:tabs>
        <w:spacing w:after="160"/>
        <w:ind w:firstLine="1304"/>
        <w:contextualSpacing/>
        <w:jc w:val="both"/>
        <w:rPr>
          <w:b/>
          <w:szCs w:val="24"/>
          <w:u w:val="single"/>
        </w:rPr>
      </w:pPr>
    </w:p>
    <w:p w:rsidR="00C77310" w:rsidRPr="00445DFA" w:rsidRDefault="00C77310" w:rsidP="007D5E1B">
      <w:pPr>
        <w:tabs>
          <w:tab w:val="clear" w:pos="284"/>
        </w:tabs>
        <w:spacing w:after="160"/>
        <w:ind w:firstLine="1304"/>
        <w:contextualSpacing/>
        <w:jc w:val="both"/>
        <w:rPr>
          <w:b/>
          <w:szCs w:val="24"/>
          <w:u w:val="single"/>
        </w:rPr>
      </w:pPr>
    </w:p>
    <w:p w:rsidR="005665E4" w:rsidRPr="00445DFA" w:rsidRDefault="008817BA" w:rsidP="00266B72">
      <w:pPr>
        <w:ind w:left="1304" w:hanging="1304"/>
        <w:jc w:val="both"/>
        <w:rPr>
          <w:b/>
          <w:szCs w:val="24"/>
          <w:lang w:eastAsia="ja-JP"/>
        </w:rPr>
      </w:pPr>
      <w:r>
        <w:rPr>
          <w:b/>
          <w:szCs w:val="24"/>
        </w:rPr>
        <w:t>Punkt 10</w:t>
      </w:r>
      <w:r w:rsidR="00C77310" w:rsidRPr="00445DFA">
        <w:rPr>
          <w:b/>
          <w:szCs w:val="24"/>
        </w:rPr>
        <w:tab/>
      </w:r>
      <w:r w:rsidR="00266B72" w:rsidRPr="00445DFA">
        <w:rPr>
          <w:b/>
        </w:rPr>
        <w:t>Orientering om følgegruppemøde vedr. Strategi- og handleplan for fagpersonalet på daginstitutionerne</w:t>
      </w:r>
      <w:r w:rsidR="00F64D33">
        <w:rPr>
          <w:b/>
        </w:rPr>
        <w:t>.</w:t>
      </w:r>
    </w:p>
    <w:p w:rsidR="005665E4" w:rsidRPr="00445DFA" w:rsidRDefault="005665E4" w:rsidP="00257D65">
      <w:pPr>
        <w:jc w:val="both"/>
        <w:rPr>
          <w:b/>
          <w:szCs w:val="24"/>
          <w:lang w:eastAsia="ja-JP"/>
        </w:rPr>
      </w:pPr>
    </w:p>
    <w:p w:rsidR="00257D65" w:rsidRPr="00445DFA" w:rsidRDefault="00672186" w:rsidP="00257D65">
      <w:pPr>
        <w:jc w:val="both"/>
        <w:rPr>
          <w:b/>
          <w:szCs w:val="24"/>
        </w:rPr>
      </w:pPr>
      <w:r w:rsidRPr="00445DFA">
        <w:rPr>
          <w:b/>
          <w:szCs w:val="24"/>
        </w:rPr>
        <w:t>Punkt 1</w:t>
      </w:r>
      <w:r w:rsidR="008817BA">
        <w:rPr>
          <w:b/>
          <w:szCs w:val="24"/>
        </w:rPr>
        <w:t>1</w:t>
      </w:r>
      <w:r w:rsidR="00266B72" w:rsidRPr="00445DFA">
        <w:rPr>
          <w:b/>
          <w:szCs w:val="24"/>
        </w:rPr>
        <w:tab/>
      </w:r>
      <w:r w:rsidR="00266B72" w:rsidRPr="00445DFA">
        <w:rPr>
          <w:b/>
        </w:rPr>
        <w:t>Orientering om møde i arbejdsmarkedsråd</w:t>
      </w:r>
      <w:r w:rsidR="00F64D33">
        <w:rPr>
          <w:b/>
        </w:rPr>
        <w:t>.</w:t>
      </w:r>
    </w:p>
    <w:p w:rsidR="00E03436" w:rsidRPr="00445DFA" w:rsidRDefault="00E03436" w:rsidP="00257D65">
      <w:pPr>
        <w:jc w:val="both"/>
        <w:rPr>
          <w:b/>
          <w:szCs w:val="24"/>
        </w:rPr>
      </w:pPr>
    </w:p>
    <w:p w:rsidR="005665E4" w:rsidRPr="00445DFA" w:rsidRDefault="00E03436" w:rsidP="00266B72">
      <w:pPr>
        <w:ind w:left="1304" w:hanging="1304"/>
        <w:jc w:val="both"/>
        <w:rPr>
          <w:b/>
        </w:rPr>
      </w:pPr>
      <w:r w:rsidRPr="00445DFA">
        <w:rPr>
          <w:b/>
          <w:szCs w:val="24"/>
        </w:rPr>
        <w:t>Punkt</w:t>
      </w:r>
      <w:r w:rsidR="008817BA">
        <w:rPr>
          <w:b/>
          <w:szCs w:val="24"/>
        </w:rPr>
        <w:t xml:space="preserve"> 12</w:t>
      </w:r>
      <w:r w:rsidR="00266B72" w:rsidRPr="00445DFA">
        <w:rPr>
          <w:b/>
          <w:szCs w:val="24"/>
        </w:rPr>
        <w:tab/>
      </w:r>
      <w:r w:rsidR="00266B72" w:rsidRPr="00445DFA">
        <w:rPr>
          <w:b/>
        </w:rPr>
        <w:t xml:space="preserve">Orientering om formandsbeslutning omkring høringssvar til høring vedr. udkast til </w:t>
      </w:r>
      <w:proofErr w:type="spellStart"/>
      <w:r w:rsidR="00266B72" w:rsidRPr="00445DFA">
        <w:rPr>
          <w:b/>
        </w:rPr>
        <w:t>Naalakkersuisut</w:t>
      </w:r>
      <w:proofErr w:type="spellEnd"/>
      <w:r w:rsidR="00266B72" w:rsidRPr="00445DFA">
        <w:rPr>
          <w:b/>
        </w:rPr>
        <w:t xml:space="preserve"> Strategi- og handleplan for fagpersonalet på daginstitutionerne.</w:t>
      </w:r>
    </w:p>
    <w:p w:rsidR="005665E4" w:rsidRPr="00445DFA" w:rsidRDefault="005665E4" w:rsidP="00257D65">
      <w:pPr>
        <w:jc w:val="both"/>
        <w:rPr>
          <w:b/>
          <w:szCs w:val="24"/>
        </w:rPr>
      </w:pPr>
    </w:p>
    <w:p w:rsidR="005665E4" w:rsidRDefault="008817BA" w:rsidP="00257D65">
      <w:pPr>
        <w:jc w:val="both"/>
        <w:rPr>
          <w:b/>
        </w:rPr>
      </w:pPr>
      <w:r>
        <w:rPr>
          <w:b/>
          <w:szCs w:val="24"/>
        </w:rPr>
        <w:t>Punkt 13</w:t>
      </w:r>
      <w:r w:rsidR="00266B72" w:rsidRPr="00445DFA">
        <w:rPr>
          <w:b/>
          <w:szCs w:val="24"/>
        </w:rPr>
        <w:tab/>
      </w:r>
      <w:r w:rsidR="00266B72" w:rsidRPr="00445DFA">
        <w:rPr>
          <w:b/>
        </w:rPr>
        <w:t>Styrkelse af fritidsområdet</w:t>
      </w:r>
      <w:r w:rsidR="00F64D33">
        <w:rPr>
          <w:b/>
        </w:rPr>
        <w:t>.</w:t>
      </w:r>
    </w:p>
    <w:p w:rsidR="008817BA" w:rsidRDefault="008817BA" w:rsidP="00257D65">
      <w:pPr>
        <w:jc w:val="both"/>
        <w:rPr>
          <w:b/>
        </w:rPr>
      </w:pPr>
    </w:p>
    <w:p w:rsidR="008817BA" w:rsidRDefault="008817BA" w:rsidP="00257D65">
      <w:pPr>
        <w:jc w:val="both"/>
        <w:rPr>
          <w:b/>
        </w:rPr>
      </w:pPr>
      <w:r>
        <w:rPr>
          <w:b/>
        </w:rPr>
        <w:t>Punkt 14</w:t>
      </w:r>
      <w:r>
        <w:rPr>
          <w:b/>
        </w:rPr>
        <w:tab/>
      </w:r>
      <w:r w:rsidR="004D3BEE">
        <w:rPr>
          <w:b/>
        </w:rPr>
        <w:t xml:space="preserve">Møde om resultater fra ICC </w:t>
      </w:r>
    </w:p>
    <w:p w:rsidR="008817BA" w:rsidRDefault="008817BA" w:rsidP="00257D65">
      <w:pPr>
        <w:jc w:val="both"/>
        <w:rPr>
          <w:b/>
        </w:rPr>
      </w:pPr>
    </w:p>
    <w:p w:rsidR="008817BA" w:rsidRPr="00445DFA" w:rsidRDefault="008817BA" w:rsidP="004D3BEE">
      <w:pPr>
        <w:ind w:left="1304" w:hanging="1304"/>
        <w:jc w:val="both"/>
        <w:rPr>
          <w:b/>
          <w:szCs w:val="24"/>
        </w:rPr>
      </w:pPr>
      <w:r>
        <w:rPr>
          <w:b/>
        </w:rPr>
        <w:t>Punkt 15</w:t>
      </w:r>
      <w:r w:rsidR="004D3BEE">
        <w:rPr>
          <w:b/>
        </w:rPr>
        <w:tab/>
      </w:r>
      <w:r w:rsidR="004D3BEE" w:rsidRPr="004D3BEE">
        <w:rPr>
          <w:b/>
          <w:szCs w:val="24"/>
          <w:lang w:eastAsia="ja-JP"/>
        </w:rPr>
        <w:t>Orientering om formandens beslutning vedr. ansøgning om udefra kommende arbejdskraft i september måned.</w:t>
      </w:r>
    </w:p>
    <w:p w:rsidR="005665E4" w:rsidRPr="00445DFA" w:rsidRDefault="005665E4" w:rsidP="00257D65">
      <w:pPr>
        <w:jc w:val="both"/>
        <w:rPr>
          <w:b/>
          <w:szCs w:val="24"/>
        </w:rPr>
      </w:pPr>
    </w:p>
    <w:p w:rsidR="005665E4" w:rsidRPr="00445DFA" w:rsidRDefault="008817BA" w:rsidP="00257D65">
      <w:pPr>
        <w:jc w:val="both"/>
        <w:rPr>
          <w:b/>
          <w:szCs w:val="24"/>
        </w:rPr>
      </w:pPr>
      <w:r>
        <w:rPr>
          <w:b/>
          <w:szCs w:val="24"/>
        </w:rPr>
        <w:t>Punkt 16</w:t>
      </w:r>
      <w:r w:rsidR="005665E4" w:rsidRPr="00445DFA">
        <w:rPr>
          <w:b/>
          <w:szCs w:val="24"/>
        </w:rPr>
        <w:tab/>
        <w:t>Evt.</w:t>
      </w:r>
    </w:p>
    <w:p w:rsidR="000E057F" w:rsidRDefault="000E057F">
      <w:pPr>
        <w:tabs>
          <w:tab w:val="clear" w:pos="284"/>
        </w:tabs>
        <w:spacing w:after="160" w:line="259" w:lineRule="auto"/>
        <w:rPr>
          <w:b/>
          <w:szCs w:val="24"/>
        </w:rPr>
      </w:pPr>
      <w:r>
        <w:rPr>
          <w:b/>
          <w:szCs w:val="24"/>
        </w:rPr>
        <w:br w:type="page"/>
      </w:r>
    </w:p>
    <w:p w:rsidR="008600F1" w:rsidRPr="000161CB" w:rsidRDefault="008600F1" w:rsidP="000E057F">
      <w:pPr>
        <w:tabs>
          <w:tab w:val="clear" w:pos="284"/>
        </w:tabs>
        <w:spacing w:after="160"/>
        <w:ind w:firstLine="360"/>
        <w:contextualSpacing/>
        <w:jc w:val="both"/>
        <w:rPr>
          <w:rFonts w:eastAsia="MS Gothic"/>
          <w:szCs w:val="24"/>
        </w:rPr>
      </w:pPr>
      <w:r w:rsidRPr="000161CB">
        <w:rPr>
          <w:rFonts w:eastAsia="MS Gothic"/>
          <w:szCs w:val="24"/>
        </w:rPr>
        <w:lastRenderedPageBreak/>
        <w:t xml:space="preserve">Mødet startet kl. </w:t>
      </w:r>
      <w:r w:rsidR="00AA07A2">
        <w:rPr>
          <w:rFonts w:eastAsia="MS Gothic"/>
          <w:szCs w:val="24"/>
        </w:rPr>
        <w:t>08:30</w:t>
      </w:r>
    </w:p>
    <w:p w:rsidR="008600F1" w:rsidRPr="000161CB" w:rsidRDefault="008600F1" w:rsidP="008600F1">
      <w:pPr>
        <w:tabs>
          <w:tab w:val="clear" w:pos="284"/>
        </w:tabs>
        <w:spacing w:after="160"/>
        <w:ind w:left="720" w:hanging="360"/>
        <w:contextualSpacing/>
        <w:jc w:val="both"/>
        <w:rPr>
          <w:rFonts w:eastAsia="MS Gothic"/>
          <w:b/>
          <w:bCs/>
          <w:szCs w:val="24"/>
        </w:rPr>
      </w:pPr>
    </w:p>
    <w:p w:rsidR="008600F1" w:rsidRPr="000161CB" w:rsidRDefault="008600F1" w:rsidP="008600F1">
      <w:pPr>
        <w:tabs>
          <w:tab w:val="clear" w:pos="284"/>
        </w:tabs>
        <w:spacing w:after="160"/>
        <w:ind w:left="720" w:hanging="360"/>
        <w:contextualSpacing/>
        <w:jc w:val="both"/>
        <w:rPr>
          <w:rFonts w:eastAsia="MS Gothic"/>
          <w:szCs w:val="24"/>
        </w:rPr>
      </w:pPr>
    </w:p>
    <w:p w:rsidR="008600F1" w:rsidRPr="000161CB" w:rsidRDefault="008600F1" w:rsidP="008600F1">
      <w:pPr>
        <w:tabs>
          <w:tab w:val="clear" w:pos="284"/>
        </w:tabs>
        <w:spacing w:after="160"/>
        <w:ind w:left="720" w:hanging="360"/>
        <w:contextualSpacing/>
        <w:jc w:val="both"/>
        <w:rPr>
          <w:rFonts w:eastAsia="MS Gothic"/>
          <w:i/>
          <w:szCs w:val="24"/>
        </w:rPr>
      </w:pPr>
      <w:r w:rsidRPr="000161CB">
        <w:rPr>
          <w:rFonts w:eastAsia="MS Gothic"/>
          <w:i/>
          <w:szCs w:val="24"/>
        </w:rPr>
        <w:t>Deltagere:</w:t>
      </w:r>
    </w:p>
    <w:p w:rsidR="007A4A8F" w:rsidRPr="005665E4" w:rsidRDefault="008600F1" w:rsidP="008600F1">
      <w:pPr>
        <w:keepNext/>
        <w:keepLines/>
        <w:tabs>
          <w:tab w:val="clear" w:pos="284"/>
        </w:tabs>
        <w:spacing w:before="40" w:after="160"/>
        <w:ind w:left="720" w:hanging="360"/>
        <w:contextualSpacing/>
        <w:jc w:val="both"/>
        <w:outlineLvl w:val="4"/>
        <w:rPr>
          <w:b/>
          <w:i/>
          <w:szCs w:val="24"/>
        </w:rPr>
      </w:pPr>
      <w:proofErr w:type="spellStart"/>
      <w:r w:rsidRPr="005665E4">
        <w:rPr>
          <w:b/>
          <w:i/>
          <w:szCs w:val="24"/>
        </w:rPr>
        <w:t>Siumut</w:t>
      </w:r>
      <w:proofErr w:type="spellEnd"/>
      <w:r w:rsidRPr="005665E4">
        <w:rPr>
          <w:b/>
          <w:i/>
          <w:szCs w:val="24"/>
        </w:rPr>
        <w:t xml:space="preserve"> </w:t>
      </w:r>
      <w:r w:rsidR="00AA07A2">
        <w:rPr>
          <w:b/>
          <w:i/>
          <w:szCs w:val="24"/>
        </w:rPr>
        <w:t>Evelyn Frederiksen, Frederik Olsen, Ruth Heilmann</w:t>
      </w:r>
    </w:p>
    <w:p w:rsidR="008600F1" w:rsidRPr="005665E4" w:rsidRDefault="008600F1" w:rsidP="008600F1">
      <w:pPr>
        <w:keepNext/>
        <w:keepLines/>
        <w:tabs>
          <w:tab w:val="clear" w:pos="284"/>
        </w:tabs>
        <w:spacing w:before="40" w:after="160"/>
        <w:ind w:left="720" w:hanging="360"/>
        <w:contextualSpacing/>
        <w:jc w:val="both"/>
        <w:outlineLvl w:val="4"/>
        <w:rPr>
          <w:i/>
          <w:szCs w:val="24"/>
        </w:rPr>
      </w:pPr>
      <w:proofErr w:type="spellStart"/>
      <w:r w:rsidRPr="005665E4">
        <w:rPr>
          <w:b/>
          <w:i/>
          <w:szCs w:val="24"/>
        </w:rPr>
        <w:t>Atassut</w:t>
      </w:r>
      <w:proofErr w:type="spellEnd"/>
      <w:r w:rsidRPr="005665E4">
        <w:rPr>
          <w:b/>
          <w:i/>
          <w:szCs w:val="24"/>
        </w:rPr>
        <w:t xml:space="preserve"> </w:t>
      </w:r>
      <w:r w:rsidR="00AA07A2">
        <w:rPr>
          <w:b/>
          <w:i/>
          <w:szCs w:val="24"/>
        </w:rPr>
        <w:t>Siverth K. Heilmann</w:t>
      </w:r>
    </w:p>
    <w:p w:rsidR="008600F1" w:rsidRPr="00AA07A2" w:rsidRDefault="000161CB" w:rsidP="00672186">
      <w:pPr>
        <w:keepNext/>
        <w:keepLines/>
        <w:tabs>
          <w:tab w:val="clear" w:pos="284"/>
        </w:tabs>
        <w:spacing w:before="40" w:after="160"/>
        <w:ind w:firstLine="360"/>
        <w:contextualSpacing/>
        <w:jc w:val="both"/>
        <w:outlineLvl w:val="4"/>
        <w:rPr>
          <w:i/>
          <w:szCs w:val="24"/>
          <w:lang w:val="en-US"/>
        </w:rPr>
      </w:pPr>
      <w:r w:rsidRPr="00AA07A2">
        <w:rPr>
          <w:b/>
          <w:i/>
          <w:szCs w:val="24"/>
          <w:lang w:val="en-US"/>
        </w:rPr>
        <w:t xml:space="preserve">Inuit </w:t>
      </w:r>
      <w:proofErr w:type="spellStart"/>
      <w:r w:rsidRPr="00AA07A2">
        <w:rPr>
          <w:b/>
          <w:i/>
          <w:szCs w:val="24"/>
          <w:lang w:val="en-US"/>
        </w:rPr>
        <w:t>Ataqatigiit</w:t>
      </w:r>
      <w:proofErr w:type="spellEnd"/>
      <w:r w:rsidR="00AA07A2" w:rsidRPr="00AA07A2">
        <w:rPr>
          <w:b/>
          <w:i/>
          <w:szCs w:val="24"/>
          <w:lang w:val="en-US"/>
        </w:rPr>
        <w:t xml:space="preserve"> Sofie </w:t>
      </w:r>
      <w:proofErr w:type="spellStart"/>
      <w:r w:rsidR="00AA07A2" w:rsidRPr="00AA07A2">
        <w:rPr>
          <w:b/>
          <w:i/>
          <w:szCs w:val="24"/>
          <w:lang w:val="en-US"/>
        </w:rPr>
        <w:t>Dorthe</w:t>
      </w:r>
      <w:proofErr w:type="spellEnd"/>
      <w:r w:rsidR="00AA07A2" w:rsidRPr="00AA07A2">
        <w:rPr>
          <w:b/>
          <w:i/>
          <w:szCs w:val="24"/>
          <w:lang w:val="en-US"/>
        </w:rPr>
        <w:t xml:space="preserve"> R. Olsen</w:t>
      </w:r>
    </w:p>
    <w:p w:rsidR="008600F1" w:rsidRPr="00AA07A2" w:rsidRDefault="008600F1" w:rsidP="008600F1">
      <w:pPr>
        <w:tabs>
          <w:tab w:val="clear" w:pos="284"/>
        </w:tabs>
        <w:spacing w:after="160"/>
        <w:ind w:left="720" w:hanging="360"/>
        <w:contextualSpacing/>
        <w:jc w:val="both"/>
        <w:rPr>
          <w:rFonts w:eastAsia="MS Gothic"/>
          <w:b/>
          <w:szCs w:val="24"/>
          <w:lang w:val="en-US"/>
        </w:rPr>
      </w:pPr>
    </w:p>
    <w:p w:rsidR="008600F1" w:rsidRPr="00AA07A2" w:rsidRDefault="008600F1" w:rsidP="008600F1">
      <w:pPr>
        <w:tabs>
          <w:tab w:val="clear" w:pos="284"/>
        </w:tabs>
        <w:spacing w:after="160"/>
        <w:ind w:left="720" w:hanging="360"/>
        <w:contextualSpacing/>
        <w:jc w:val="both"/>
        <w:rPr>
          <w:rFonts w:eastAsia="MS Gothic"/>
          <w:b/>
          <w:szCs w:val="24"/>
          <w:lang w:val="en-US"/>
        </w:rPr>
      </w:pPr>
    </w:p>
    <w:p w:rsidR="008600F1" w:rsidRPr="00AA07A2" w:rsidRDefault="008600F1" w:rsidP="008600F1">
      <w:pPr>
        <w:tabs>
          <w:tab w:val="clear" w:pos="284"/>
        </w:tabs>
        <w:spacing w:after="160"/>
        <w:ind w:left="720" w:hanging="360"/>
        <w:contextualSpacing/>
        <w:jc w:val="both"/>
        <w:rPr>
          <w:rFonts w:eastAsia="MS Gothic"/>
          <w:szCs w:val="24"/>
          <w:lang w:val="en-US"/>
        </w:rPr>
      </w:pPr>
    </w:p>
    <w:p w:rsidR="008600F1" w:rsidRPr="00AA07A2" w:rsidRDefault="008600F1" w:rsidP="008600F1">
      <w:pPr>
        <w:tabs>
          <w:tab w:val="clear" w:pos="284"/>
        </w:tabs>
        <w:spacing w:after="160"/>
        <w:ind w:left="720" w:hanging="360"/>
        <w:contextualSpacing/>
        <w:jc w:val="both"/>
        <w:rPr>
          <w:rFonts w:eastAsia="MS Gothic"/>
          <w:szCs w:val="24"/>
          <w:lang w:val="en-US"/>
        </w:rPr>
      </w:pPr>
    </w:p>
    <w:p w:rsidR="008600F1" w:rsidRPr="000161CB" w:rsidRDefault="008600F1" w:rsidP="008600F1">
      <w:pPr>
        <w:tabs>
          <w:tab w:val="clear" w:pos="284"/>
        </w:tabs>
        <w:spacing w:after="160"/>
        <w:ind w:left="720" w:hanging="360"/>
        <w:contextualSpacing/>
        <w:jc w:val="both"/>
        <w:rPr>
          <w:rFonts w:eastAsia="MS Gothic"/>
          <w:i/>
          <w:szCs w:val="24"/>
        </w:rPr>
      </w:pPr>
      <w:r w:rsidRPr="000161CB">
        <w:rPr>
          <w:rFonts w:eastAsia="MS Gothic"/>
          <w:i/>
          <w:szCs w:val="24"/>
        </w:rPr>
        <w:t>Fraværende med afbud:</w:t>
      </w:r>
    </w:p>
    <w:p w:rsidR="008600F1" w:rsidRPr="000161CB" w:rsidRDefault="008600F1" w:rsidP="008600F1">
      <w:pPr>
        <w:tabs>
          <w:tab w:val="clear" w:pos="284"/>
        </w:tabs>
        <w:spacing w:after="160"/>
        <w:ind w:left="720" w:hanging="360"/>
        <w:contextualSpacing/>
        <w:jc w:val="both"/>
        <w:rPr>
          <w:rFonts w:eastAsia="MS Gothic"/>
          <w:szCs w:val="24"/>
        </w:rPr>
      </w:pPr>
    </w:p>
    <w:p w:rsidR="008600F1" w:rsidRPr="000161CB" w:rsidRDefault="008600F1" w:rsidP="008600F1">
      <w:pPr>
        <w:tabs>
          <w:tab w:val="clear" w:pos="284"/>
        </w:tabs>
        <w:spacing w:after="160"/>
        <w:ind w:left="720" w:hanging="360"/>
        <w:contextualSpacing/>
        <w:jc w:val="both"/>
        <w:rPr>
          <w:rFonts w:eastAsia="MS Gothic"/>
          <w:szCs w:val="24"/>
        </w:rPr>
      </w:pPr>
    </w:p>
    <w:p w:rsidR="008600F1" w:rsidRPr="000161CB" w:rsidRDefault="008600F1" w:rsidP="008600F1">
      <w:pPr>
        <w:tabs>
          <w:tab w:val="clear" w:pos="284"/>
        </w:tabs>
        <w:spacing w:after="160"/>
        <w:ind w:left="720" w:hanging="360"/>
        <w:contextualSpacing/>
        <w:jc w:val="both"/>
        <w:rPr>
          <w:rFonts w:eastAsia="MS Gothic"/>
          <w:i/>
          <w:szCs w:val="24"/>
        </w:rPr>
      </w:pPr>
      <w:r w:rsidRPr="000161CB">
        <w:rPr>
          <w:rFonts w:eastAsia="MS Gothic"/>
          <w:i/>
          <w:szCs w:val="24"/>
        </w:rPr>
        <w:t>Fraværende uden afbud:</w:t>
      </w:r>
    </w:p>
    <w:p w:rsidR="008600F1" w:rsidRPr="000161CB" w:rsidRDefault="008600F1" w:rsidP="008600F1">
      <w:pPr>
        <w:tabs>
          <w:tab w:val="clear" w:pos="284"/>
        </w:tabs>
        <w:spacing w:after="160"/>
        <w:ind w:left="720" w:hanging="360"/>
        <w:contextualSpacing/>
        <w:jc w:val="both"/>
        <w:rPr>
          <w:rFonts w:eastAsia="MS Gothic"/>
          <w:b/>
          <w:i/>
          <w:szCs w:val="24"/>
        </w:rPr>
      </w:pPr>
    </w:p>
    <w:p w:rsidR="008600F1" w:rsidRPr="000161CB" w:rsidRDefault="008600F1" w:rsidP="008600F1">
      <w:pPr>
        <w:tabs>
          <w:tab w:val="clear" w:pos="284"/>
        </w:tabs>
        <w:spacing w:after="160"/>
        <w:ind w:left="720" w:hanging="360"/>
        <w:contextualSpacing/>
        <w:jc w:val="both"/>
        <w:rPr>
          <w:rFonts w:eastAsia="MS Gothic"/>
          <w:szCs w:val="24"/>
        </w:rPr>
      </w:pPr>
    </w:p>
    <w:p w:rsidR="008600F1" w:rsidRPr="000161CB" w:rsidRDefault="008600F1" w:rsidP="008600F1">
      <w:pPr>
        <w:tabs>
          <w:tab w:val="clear" w:pos="284"/>
        </w:tabs>
        <w:spacing w:after="240"/>
        <w:ind w:left="720" w:hanging="360"/>
        <w:contextualSpacing/>
        <w:jc w:val="both"/>
        <w:rPr>
          <w:b/>
          <w:bCs/>
          <w:szCs w:val="24"/>
        </w:rPr>
      </w:pPr>
    </w:p>
    <w:p w:rsidR="008600F1" w:rsidRPr="000161CB" w:rsidRDefault="008600F1" w:rsidP="008600F1">
      <w:pPr>
        <w:tabs>
          <w:tab w:val="clear" w:pos="284"/>
        </w:tabs>
        <w:spacing w:after="240"/>
        <w:ind w:left="720" w:hanging="360"/>
        <w:contextualSpacing/>
        <w:jc w:val="both"/>
        <w:rPr>
          <w:b/>
          <w:bCs/>
          <w:szCs w:val="24"/>
        </w:rPr>
      </w:pPr>
      <w:r w:rsidRPr="000161CB">
        <w:rPr>
          <w:b/>
          <w:bCs/>
          <w:szCs w:val="24"/>
        </w:rPr>
        <w:t>Punkt 01</w:t>
      </w:r>
      <w:r w:rsidR="00DE4EDC" w:rsidRPr="000161CB">
        <w:rPr>
          <w:b/>
          <w:bCs/>
          <w:szCs w:val="24"/>
        </w:rPr>
        <w:t xml:space="preserve"> </w:t>
      </w:r>
      <w:r w:rsidRPr="000161CB">
        <w:rPr>
          <w:b/>
          <w:bCs/>
          <w:szCs w:val="24"/>
        </w:rPr>
        <w:t>Godkendelse af dagsorden</w:t>
      </w:r>
    </w:p>
    <w:p w:rsidR="00F95D90" w:rsidRPr="000161CB" w:rsidRDefault="00F95D90" w:rsidP="008600F1">
      <w:pPr>
        <w:keepNext/>
        <w:keepLines/>
        <w:tabs>
          <w:tab w:val="clear" w:pos="284"/>
        </w:tabs>
        <w:spacing w:before="40" w:after="160"/>
        <w:ind w:left="720" w:hanging="360"/>
        <w:contextualSpacing/>
        <w:jc w:val="both"/>
        <w:outlineLvl w:val="3"/>
        <w:rPr>
          <w:b/>
          <w:iCs/>
          <w:szCs w:val="24"/>
        </w:rPr>
      </w:pPr>
    </w:p>
    <w:p w:rsidR="008600F1" w:rsidRDefault="008600F1" w:rsidP="008600F1">
      <w:pPr>
        <w:keepNext/>
        <w:keepLines/>
        <w:tabs>
          <w:tab w:val="clear" w:pos="284"/>
        </w:tabs>
        <w:spacing w:before="40" w:after="160"/>
        <w:ind w:left="720" w:hanging="360"/>
        <w:contextualSpacing/>
        <w:jc w:val="both"/>
        <w:outlineLvl w:val="3"/>
        <w:rPr>
          <w:b/>
          <w:iCs/>
          <w:szCs w:val="24"/>
        </w:rPr>
      </w:pPr>
      <w:proofErr w:type="gramStart"/>
      <w:r w:rsidRPr="000161CB">
        <w:rPr>
          <w:b/>
          <w:iCs/>
          <w:szCs w:val="24"/>
        </w:rPr>
        <w:t>Afgørelse</w:t>
      </w:r>
      <w:r w:rsidR="007A4A8F" w:rsidRPr="000161CB">
        <w:rPr>
          <w:b/>
          <w:iCs/>
          <w:szCs w:val="24"/>
        </w:rPr>
        <w:t xml:space="preserve"> :</w:t>
      </w:r>
      <w:proofErr w:type="gramEnd"/>
    </w:p>
    <w:p w:rsidR="00AA07A2" w:rsidRDefault="00AA07A2" w:rsidP="008600F1">
      <w:pPr>
        <w:keepNext/>
        <w:keepLines/>
        <w:tabs>
          <w:tab w:val="clear" w:pos="284"/>
        </w:tabs>
        <w:spacing w:before="40" w:after="160"/>
        <w:ind w:left="720" w:hanging="360"/>
        <w:contextualSpacing/>
        <w:jc w:val="both"/>
        <w:outlineLvl w:val="3"/>
        <w:rPr>
          <w:b/>
          <w:iCs/>
          <w:szCs w:val="24"/>
        </w:rPr>
      </w:pPr>
    </w:p>
    <w:p w:rsidR="00AA07A2" w:rsidRPr="00AA07A2" w:rsidRDefault="00AA07A2" w:rsidP="00AA07A2">
      <w:pPr>
        <w:tabs>
          <w:tab w:val="clear" w:pos="284"/>
        </w:tabs>
        <w:spacing w:after="160"/>
        <w:ind w:left="360"/>
        <w:contextualSpacing/>
        <w:jc w:val="both"/>
        <w:rPr>
          <w:rFonts w:eastAsia="Calibri"/>
          <w:szCs w:val="22"/>
          <w:lang w:val="kl-GL" w:eastAsia="en-US"/>
        </w:rPr>
      </w:pPr>
      <w:r w:rsidRPr="00AA07A2">
        <w:rPr>
          <w:rFonts w:eastAsia="Calibri"/>
          <w:szCs w:val="22"/>
          <w:lang w:val="kl-GL" w:eastAsia="en-US"/>
        </w:rPr>
        <w:t>Godkendt</w:t>
      </w:r>
    </w:p>
    <w:p w:rsidR="00AA07A2" w:rsidRPr="000161CB" w:rsidRDefault="00AA07A2" w:rsidP="008600F1">
      <w:pPr>
        <w:keepNext/>
        <w:keepLines/>
        <w:tabs>
          <w:tab w:val="clear" w:pos="284"/>
        </w:tabs>
        <w:spacing w:before="40" w:after="160"/>
        <w:ind w:left="720" w:hanging="360"/>
        <w:contextualSpacing/>
        <w:jc w:val="both"/>
        <w:outlineLvl w:val="3"/>
        <w:rPr>
          <w:b/>
          <w:iCs/>
          <w:szCs w:val="24"/>
        </w:rPr>
      </w:pPr>
    </w:p>
    <w:p w:rsidR="000161CB" w:rsidRPr="000161CB" w:rsidRDefault="000161CB" w:rsidP="008600F1">
      <w:pPr>
        <w:keepNext/>
        <w:keepLines/>
        <w:tabs>
          <w:tab w:val="clear" w:pos="284"/>
        </w:tabs>
        <w:spacing w:before="40" w:after="160"/>
        <w:ind w:left="720" w:hanging="360"/>
        <w:contextualSpacing/>
        <w:jc w:val="both"/>
        <w:outlineLvl w:val="3"/>
        <w:rPr>
          <w:b/>
          <w:iCs/>
          <w:szCs w:val="24"/>
        </w:rPr>
      </w:pPr>
    </w:p>
    <w:p w:rsidR="007A4A8F" w:rsidRPr="000161CB" w:rsidRDefault="007A4A8F" w:rsidP="008600F1">
      <w:pPr>
        <w:keepNext/>
        <w:keepLines/>
        <w:tabs>
          <w:tab w:val="clear" w:pos="284"/>
        </w:tabs>
        <w:spacing w:before="40" w:after="160"/>
        <w:ind w:left="720" w:hanging="360"/>
        <w:contextualSpacing/>
        <w:jc w:val="both"/>
        <w:outlineLvl w:val="3"/>
        <w:rPr>
          <w:b/>
          <w:iCs/>
          <w:szCs w:val="24"/>
        </w:rPr>
      </w:pPr>
    </w:p>
    <w:p w:rsidR="007A4A8F" w:rsidRPr="000161CB" w:rsidRDefault="007A4A8F" w:rsidP="008600F1">
      <w:pPr>
        <w:keepNext/>
        <w:keepLines/>
        <w:tabs>
          <w:tab w:val="clear" w:pos="284"/>
        </w:tabs>
        <w:spacing w:before="40" w:after="160"/>
        <w:ind w:left="720" w:hanging="360"/>
        <w:contextualSpacing/>
        <w:jc w:val="both"/>
        <w:outlineLvl w:val="3"/>
        <w:rPr>
          <w:b/>
          <w:iCs/>
          <w:szCs w:val="24"/>
        </w:rPr>
      </w:pPr>
    </w:p>
    <w:p w:rsidR="008600F1" w:rsidRPr="000161CB" w:rsidRDefault="008600F1" w:rsidP="008600F1">
      <w:pPr>
        <w:tabs>
          <w:tab w:val="clear" w:pos="284"/>
        </w:tabs>
        <w:spacing w:after="160"/>
        <w:ind w:left="720" w:hanging="360"/>
        <w:contextualSpacing/>
        <w:jc w:val="both"/>
        <w:rPr>
          <w:rFonts w:eastAsia="MS Gothic"/>
          <w:szCs w:val="24"/>
        </w:rPr>
      </w:pPr>
    </w:p>
    <w:p w:rsidR="008600F1" w:rsidRPr="000161CB" w:rsidRDefault="008600F1" w:rsidP="008600F1">
      <w:pPr>
        <w:ind w:left="720"/>
        <w:rPr>
          <w:szCs w:val="24"/>
        </w:rPr>
      </w:pPr>
    </w:p>
    <w:p w:rsidR="008600F1" w:rsidRPr="000161CB" w:rsidRDefault="008600F1" w:rsidP="008600F1">
      <w:pPr>
        <w:ind w:left="720"/>
        <w:rPr>
          <w:szCs w:val="24"/>
        </w:rPr>
      </w:pPr>
    </w:p>
    <w:p w:rsidR="008600F1" w:rsidRPr="000161CB" w:rsidRDefault="008600F1" w:rsidP="008600F1">
      <w:pPr>
        <w:ind w:left="720"/>
        <w:rPr>
          <w:szCs w:val="24"/>
        </w:rPr>
      </w:pPr>
    </w:p>
    <w:p w:rsidR="008600F1" w:rsidRPr="000161CB" w:rsidRDefault="008600F1" w:rsidP="008600F1">
      <w:pPr>
        <w:ind w:left="720"/>
        <w:rPr>
          <w:szCs w:val="24"/>
        </w:rPr>
      </w:pPr>
    </w:p>
    <w:p w:rsidR="008600F1" w:rsidRPr="000161CB" w:rsidRDefault="008600F1" w:rsidP="008600F1">
      <w:pPr>
        <w:ind w:left="720"/>
        <w:rPr>
          <w:szCs w:val="24"/>
        </w:rPr>
      </w:pPr>
    </w:p>
    <w:p w:rsidR="008600F1" w:rsidRPr="000161CB" w:rsidRDefault="008600F1" w:rsidP="008600F1">
      <w:pPr>
        <w:ind w:left="720"/>
        <w:rPr>
          <w:szCs w:val="24"/>
        </w:rPr>
      </w:pPr>
    </w:p>
    <w:p w:rsidR="008600F1" w:rsidRPr="000161CB" w:rsidRDefault="008600F1" w:rsidP="008600F1">
      <w:pPr>
        <w:ind w:left="720"/>
        <w:rPr>
          <w:szCs w:val="24"/>
        </w:rPr>
      </w:pPr>
    </w:p>
    <w:p w:rsidR="008600F1" w:rsidRPr="000161CB" w:rsidRDefault="008600F1" w:rsidP="008600F1">
      <w:pPr>
        <w:ind w:left="720"/>
        <w:rPr>
          <w:szCs w:val="24"/>
        </w:rPr>
      </w:pPr>
    </w:p>
    <w:p w:rsidR="008600F1" w:rsidRPr="000161CB" w:rsidRDefault="008600F1" w:rsidP="00E301E7">
      <w:pPr>
        <w:rPr>
          <w:szCs w:val="24"/>
        </w:rPr>
      </w:pPr>
    </w:p>
    <w:p w:rsidR="00402270" w:rsidRPr="000161CB" w:rsidRDefault="00402270" w:rsidP="00E301E7">
      <w:pPr>
        <w:rPr>
          <w:szCs w:val="24"/>
        </w:rPr>
      </w:pPr>
    </w:p>
    <w:p w:rsidR="00F013BB" w:rsidRPr="000161CB" w:rsidRDefault="00F013BB" w:rsidP="00E301E7"/>
    <w:p w:rsidR="00F013BB" w:rsidRPr="000161CB" w:rsidRDefault="00F013BB" w:rsidP="00E301E7"/>
    <w:p w:rsidR="00F013BB" w:rsidRPr="000161CB" w:rsidRDefault="00F013BB" w:rsidP="00E301E7"/>
    <w:p w:rsidR="00F013BB" w:rsidRPr="000161CB" w:rsidRDefault="00F013BB" w:rsidP="00E301E7"/>
    <w:p w:rsidR="00F013BB" w:rsidRPr="000161CB" w:rsidRDefault="00F013BB" w:rsidP="00E301E7"/>
    <w:p w:rsidR="00F013BB" w:rsidRPr="000161CB" w:rsidRDefault="00F013BB" w:rsidP="00E301E7"/>
    <w:p w:rsidR="00F013BB" w:rsidRPr="000161CB" w:rsidRDefault="00F013BB" w:rsidP="00E301E7"/>
    <w:p w:rsidR="00F95D90" w:rsidRPr="000161CB" w:rsidRDefault="00F95D90">
      <w:pPr>
        <w:tabs>
          <w:tab w:val="clear" w:pos="284"/>
        </w:tabs>
        <w:spacing w:after="160" w:line="259" w:lineRule="auto"/>
        <w:rPr>
          <w:rFonts w:eastAsia="Calibri"/>
          <w:b/>
          <w:szCs w:val="22"/>
          <w:u w:val="single"/>
          <w:lang w:eastAsia="en-US"/>
        </w:rPr>
      </w:pPr>
    </w:p>
    <w:p w:rsidR="00672186" w:rsidRPr="000161CB" w:rsidRDefault="0079439F" w:rsidP="0079439F">
      <w:pPr>
        <w:rPr>
          <w:rFonts w:eastAsia="Calibri"/>
          <w:b/>
          <w:szCs w:val="22"/>
          <w:lang w:eastAsia="en-US"/>
        </w:rPr>
      </w:pPr>
      <w:r w:rsidRPr="000161CB">
        <w:rPr>
          <w:rFonts w:eastAsia="Calibri"/>
          <w:b/>
          <w:szCs w:val="22"/>
          <w:lang w:eastAsia="en-US"/>
        </w:rPr>
        <w:tab/>
      </w:r>
      <w:r w:rsidRPr="000161CB">
        <w:rPr>
          <w:rFonts w:eastAsia="Calibri"/>
          <w:b/>
          <w:szCs w:val="22"/>
          <w:lang w:eastAsia="en-US"/>
        </w:rPr>
        <w:tab/>
      </w:r>
    </w:p>
    <w:p w:rsidR="008600F1" w:rsidRPr="000161CB" w:rsidRDefault="00672186" w:rsidP="007D6F18">
      <w:pPr>
        <w:tabs>
          <w:tab w:val="clear" w:pos="284"/>
        </w:tabs>
        <w:spacing w:after="160" w:line="259" w:lineRule="auto"/>
        <w:rPr>
          <w:rFonts w:eastAsia="Calibri"/>
          <w:b/>
          <w:szCs w:val="22"/>
          <w:lang w:eastAsia="en-US"/>
        </w:rPr>
      </w:pPr>
      <w:r w:rsidRPr="000161CB">
        <w:rPr>
          <w:rFonts w:eastAsia="Calibri"/>
          <w:b/>
          <w:szCs w:val="22"/>
          <w:lang w:eastAsia="en-US"/>
        </w:rPr>
        <w:br w:type="page"/>
      </w:r>
      <w:r w:rsidR="008600F1" w:rsidRPr="000161CB">
        <w:rPr>
          <w:rFonts w:eastAsia="Calibri"/>
          <w:b/>
          <w:sz w:val="28"/>
          <w:szCs w:val="28"/>
          <w:u w:val="single"/>
          <w:lang w:eastAsia="en-US"/>
        </w:rPr>
        <w:lastRenderedPageBreak/>
        <w:t>Økonomisager</w:t>
      </w:r>
      <w:r w:rsidR="0079439F" w:rsidRPr="000161CB">
        <w:rPr>
          <w:rFonts w:eastAsia="Calibri"/>
          <w:b/>
          <w:sz w:val="28"/>
          <w:szCs w:val="28"/>
          <w:u w:val="single"/>
          <w:lang w:eastAsia="en-US"/>
        </w:rPr>
        <w:t>.</w:t>
      </w: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r w:rsidRPr="00DE1FC9">
        <w:rPr>
          <w:rFonts w:eastAsiaTheme="minorHAnsi" w:cstheme="minorBidi"/>
          <w:b/>
          <w:szCs w:val="22"/>
          <w:lang w:eastAsia="en-US"/>
        </w:rPr>
        <w:t>Punkt 02</w:t>
      </w:r>
      <w:r w:rsidRPr="00DE1FC9">
        <w:rPr>
          <w:rFonts w:eastAsiaTheme="minorHAnsi" w:cstheme="minorBidi"/>
          <w:b/>
          <w:szCs w:val="22"/>
          <w:lang w:eastAsia="en-US"/>
        </w:rPr>
        <w:tab/>
        <w:t>Økonomirapport vedr. Området for Uddannelse i Sisimiut, 3. kvartal 2019</w:t>
      </w:r>
    </w:p>
    <w:p w:rsidR="00DE1FC9" w:rsidRPr="00DE1FC9" w:rsidRDefault="00DE1FC9" w:rsidP="00DE1FC9">
      <w:pPr>
        <w:tabs>
          <w:tab w:val="clear" w:pos="284"/>
        </w:tabs>
        <w:spacing w:after="160"/>
        <w:ind w:left="720" w:hanging="360"/>
        <w:contextualSpacing/>
        <w:jc w:val="both"/>
        <w:rPr>
          <w:rFonts w:eastAsiaTheme="minorHAnsi" w:cstheme="minorBidi"/>
          <w:i/>
          <w:szCs w:val="22"/>
          <w:lang w:eastAsia="en-US"/>
        </w:rPr>
      </w:pPr>
      <w:r w:rsidRPr="00DE1FC9">
        <w:rPr>
          <w:rFonts w:eastAsiaTheme="minorHAnsi" w:cstheme="minorBidi"/>
          <w:i/>
          <w:szCs w:val="22"/>
          <w:lang w:eastAsia="en-US"/>
        </w:rPr>
        <w:t>Journal nr. 06.01.02</w:t>
      </w:r>
    </w:p>
    <w:p w:rsidR="00DE1FC9" w:rsidRPr="00DE1FC9" w:rsidRDefault="00DE1FC9" w:rsidP="00DE1FC9">
      <w:pPr>
        <w:tabs>
          <w:tab w:val="clear" w:pos="284"/>
        </w:tabs>
        <w:spacing w:after="160"/>
        <w:ind w:left="720" w:hanging="360"/>
        <w:contextualSpacing/>
        <w:jc w:val="both"/>
        <w:rPr>
          <w:rFonts w:eastAsiaTheme="minorHAnsi" w:cstheme="minorBidi"/>
          <w:i/>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szCs w:val="22"/>
          <w:u w:val="single"/>
          <w:lang w:eastAsia="en-US"/>
        </w:rPr>
      </w:pPr>
      <w:r w:rsidRPr="00DE1FC9">
        <w:rPr>
          <w:rFonts w:eastAsiaTheme="minorHAnsi" w:cstheme="minorBidi"/>
          <w:szCs w:val="22"/>
          <w:u w:val="single"/>
          <w:lang w:eastAsia="en-US"/>
        </w:rPr>
        <w:t>Baggrund</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Der skal hver måned foretages en budgetopfølgning med vurdering af det forventede forbrug for resten af året samt angivelse af områder.</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Område for Uddannelse i Sisimiut vedlægger hermed budgetopfølgning for 3. kvartal 2019.</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szCs w:val="22"/>
          <w:u w:val="single"/>
          <w:lang w:eastAsia="en-US"/>
        </w:rPr>
      </w:pPr>
      <w:r w:rsidRPr="00DE1FC9">
        <w:rPr>
          <w:rFonts w:eastAsiaTheme="minorHAnsi" w:cstheme="minorBidi"/>
          <w:szCs w:val="22"/>
          <w:u w:val="single"/>
          <w:lang w:eastAsia="en-US"/>
        </w:rPr>
        <w:t>Regelgrundlag</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Qeqqata Kommunia s kasse- og regnskabsregulativ.</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szCs w:val="22"/>
          <w:u w:val="single"/>
          <w:lang w:eastAsia="en-US"/>
        </w:rPr>
      </w:pPr>
      <w:r w:rsidRPr="00DE1FC9">
        <w:rPr>
          <w:rFonts w:eastAsiaTheme="minorHAnsi" w:cstheme="minorBidi"/>
          <w:szCs w:val="22"/>
          <w:u w:val="single"/>
          <w:lang w:eastAsia="en-US"/>
        </w:rPr>
        <w:t>Faktiske forhold</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Forbruget / indtægterne skal ligge på 75 % hvis forbruget er jævnt fordelt over året.</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p>
    <w:p w:rsidR="00DE1FC9" w:rsidRPr="00DE1FC9" w:rsidRDefault="00DE1FC9" w:rsidP="00DE1FC9">
      <w:pPr>
        <w:tabs>
          <w:tab w:val="clear" w:pos="284"/>
        </w:tabs>
        <w:spacing w:after="160" w:line="259" w:lineRule="auto"/>
        <w:ind w:left="720" w:hanging="360"/>
        <w:contextualSpacing/>
        <w:jc w:val="both"/>
        <w:rPr>
          <w:rFonts w:eastAsiaTheme="minorHAnsi" w:cstheme="minorBidi"/>
          <w:b/>
          <w:szCs w:val="22"/>
          <w:lang w:eastAsia="en-US"/>
        </w:rPr>
      </w:pPr>
      <w:r w:rsidRPr="00DE1FC9">
        <w:rPr>
          <w:rFonts w:eastAsiaTheme="minorHAnsi" w:cstheme="minorBidi"/>
          <w:b/>
          <w:szCs w:val="22"/>
          <w:lang w:eastAsia="en-US"/>
        </w:rPr>
        <w:t xml:space="preserve">Konto 3 – </w:t>
      </w:r>
      <w:proofErr w:type="spellStart"/>
      <w:r w:rsidRPr="00DE1FC9">
        <w:rPr>
          <w:rFonts w:eastAsiaTheme="minorHAnsi" w:cstheme="minorBidi"/>
          <w:b/>
          <w:szCs w:val="22"/>
          <w:lang w:eastAsia="en-US"/>
        </w:rPr>
        <w:t>Majoriaq</w:t>
      </w:r>
      <w:proofErr w:type="spellEnd"/>
      <w:r w:rsidRPr="00DE1FC9">
        <w:rPr>
          <w:rFonts w:eastAsiaTheme="minorHAnsi" w:cstheme="minorBidi"/>
          <w:b/>
          <w:szCs w:val="22"/>
          <w:lang w:eastAsia="en-US"/>
        </w:rPr>
        <w:t xml:space="preserve"> Sisimiut</w:t>
      </w:r>
    </w:p>
    <w:p w:rsidR="00DE1FC9" w:rsidRPr="00DE1FC9" w:rsidRDefault="00DE1FC9" w:rsidP="00DE1FC9">
      <w:pPr>
        <w:tabs>
          <w:tab w:val="clear" w:pos="284"/>
        </w:tabs>
        <w:spacing w:after="160" w:line="259" w:lineRule="auto"/>
        <w:ind w:left="720" w:hanging="360"/>
        <w:contextualSpacing/>
        <w:jc w:val="both"/>
        <w:rPr>
          <w:rFonts w:eastAsiaTheme="minorHAnsi" w:cstheme="minorBidi"/>
          <w:b/>
          <w:szCs w:val="22"/>
          <w:lang w:val="en-US" w:eastAsia="en-US"/>
        </w:rPr>
      </w:pPr>
      <w:r w:rsidRPr="00DE1FC9">
        <w:rPr>
          <w:rFonts w:eastAsiaTheme="minorHAnsi" w:cstheme="minorBidi"/>
          <w:noProof/>
          <w:szCs w:val="22"/>
        </w:rPr>
        <w:drawing>
          <wp:inline distT="0" distB="0" distL="0" distR="0" wp14:anchorId="6168D8D1" wp14:editId="0E52A69E">
            <wp:extent cx="6120130" cy="1300986"/>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300986"/>
                    </a:xfrm>
                    <a:prstGeom prst="rect">
                      <a:avLst/>
                    </a:prstGeom>
                    <a:noFill/>
                    <a:ln>
                      <a:noFill/>
                    </a:ln>
                  </pic:spPr>
                </pic:pic>
              </a:graphicData>
            </a:graphic>
          </wp:inline>
        </w:drawing>
      </w:r>
    </w:p>
    <w:p w:rsidR="00DE1FC9" w:rsidRPr="00DE1FC9" w:rsidRDefault="00DE1FC9" w:rsidP="00DE1FC9">
      <w:pPr>
        <w:tabs>
          <w:tab w:val="clear" w:pos="284"/>
        </w:tabs>
        <w:spacing w:after="160" w:line="259" w:lineRule="auto"/>
        <w:ind w:left="720" w:hanging="360"/>
        <w:contextualSpacing/>
        <w:jc w:val="both"/>
        <w:rPr>
          <w:rFonts w:eastAsiaTheme="minorHAnsi" w:cstheme="minorBidi"/>
          <w:szCs w:val="22"/>
          <w:lang w:eastAsia="en-US"/>
        </w:rPr>
      </w:pPr>
      <w:r w:rsidRPr="00DE1FC9">
        <w:rPr>
          <w:rFonts w:eastAsiaTheme="minorHAnsi" w:cstheme="minorBidi"/>
          <w:noProof/>
          <w:szCs w:val="22"/>
        </w:rPr>
        <w:drawing>
          <wp:inline distT="0" distB="0" distL="0" distR="0" wp14:anchorId="13CEA2F7" wp14:editId="794E8D9B">
            <wp:extent cx="6120130" cy="1593407"/>
            <wp:effectExtent l="0" t="0" r="0" b="698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593407"/>
                    </a:xfrm>
                    <a:prstGeom prst="rect">
                      <a:avLst/>
                    </a:prstGeom>
                    <a:noFill/>
                    <a:ln>
                      <a:noFill/>
                    </a:ln>
                  </pic:spPr>
                </pic:pic>
              </a:graphicData>
            </a:graphic>
          </wp:inline>
        </w:drawing>
      </w:r>
    </w:p>
    <w:p w:rsidR="00DE1FC9" w:rsidRPr="00DE1FC9" w:rsidRDefault="00DE1FC9" w:rsidP="00DE1FC9">
      <w:pPr>
        <w:tabs>
          <w:tab w:val="clear" w:pos="284"/>
        </w:tabs>
        <w:spacing w:after="160" w:line="259" w:lineRule="auto"/>
        <w:ind w:left="720" w:hanging="360"/>
        <w:contextualSpacing/>
        <w:jc w:val="both"/>
        <w:rPr>
          <w:rFonts w:eastAsiaTheme="minorHAnsi" w:cstheme="minorBidi"/>
          <w:szCs w:val="22"/>
          <w:lang w:eastAsia="en-US"/>
        </w:rPr>
      </w:pPr>
      <w:r w:rsidRPr="00DE1FC9">
        <w:rPr>
          <w:rFonts w:eastAsiaTheme="minorHAnsi" w:cstheme="minorBidi"/>
          <w:szCs w:val="22"/>
          <w:lang w:eastAsia="en-US"/>
        </w:rPr>
        <w:t xml:space="preserve">Konto 34 – Der er endnu ikke lavet refusion til Selvstyret af forbruget i </w:t>
      </w:r>
      <w:proofErr w:type="spellStart"/>
      <w:r w:rsidRPr="00DE1FC9">
        <w:rPr>
          <w:rFonts w:eastAsiaTheme="minorHAnsi" w:cstheme="minorBidi"/>
          <w:szCs w:val="22"/>
          <w:lang w:eastAsia="en-US"/>
        </w:rPr>
        <w:t>Nutaaliorfeeraq</w:t>
      </w:r>
      <w:proofErr w:type="spellEnd"/>
      <w:r w:rsidRPr="00DE1FC9">
        <w:rPr>
          <w:rFonts w:eastAsiaTheme="minorHAnsi" w:cstheme="minorBidi"/>
          <w:szCs w:val="22"/>
          <w:lang w:eastAsia="en-US"/>
        </w:rPr>
        <w:t>.</w:t>
      </w:r>
    </w:p>
    <w:p w:rsidR="00DE1FC9" w:rsidRPr="00DE1FC9" w:rsidRDefault="00DE1FC9" w:rsidP="00DE1FC9">
      <w:pPr>
        <w:tabs>
          <w:tab w:val="clear" w:pos="284"/>
        </w:tabs>
        <w:spacing w:after="160" w:line="259" w:lineRule="auto"/>
        <w:ind w:left="720" w:hanging="360"/>
        <w:contextualSpacing/>
        <w:jc w:val="both"/>
        <w:rPr>
          <w:rFonts w:eastAsiaTheme="minorHAnsi" w:cstheme="minorBidi"/>
          <w:szCs w:val="22"/>
          <w:lang w:eastAsia="en-US"/>
        </w:rPr>
      </w:pPr>
      <w:r w:rsidRPr="00DE1FC9">
        <w:rPr>
          <w:rFonts w:eastAsiaTheme="minorHAnsi" w:cstheme="minorBidi"/>
          <w:noProof/>
          <w:szCs w:val="22"/>
        </w:rPr>
        <w:drawing>
          <wp:inline distT="0" distB="0" distL="0" distR="0" wp14:anchorId="559B7622" wp14:editId="480FD5E3">
            <wp:extent cx="6120130" cy="1901224"/>
            <wp:effectExtent l="0" t="0" r="0" b="381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901224"/>
                    </a:xfrm>
                    <a:prstGeom prst="rect">
                      <a:avLst/>
                    </a:prstGeom>
                    <a:noFill/>
                    <a:ln>
                      <a:noFill/>
                    </a:ln>
                  </pic:spPr>
                </pic:pic>
              </a:graphicData>
            </a:graphic>
          </wp:inline>
        </w:drawing>
      </w:r>
    </w:p>
    <w:p w:rsidR="00DE1FC9" w:rsidRPr="00DE1FC9" w:rsidRDefault="00DE1FC9" w:rsidP="00DE1FC9">
      <w:pPr>
        <w:tabs>
          <w:tab w:val="clear" w:pos="284"/>
        </w:tabs>
        <w:spacing w:after="160" w:line="259" w:lineRule="auto"/>
        <w:ind w:left="720" w:hanging="360"/>
        <w:contextualSpacing/>
        <w:jc w:val="both"/>
        <w:rPr>
          <w:rFonts w:eastAsiaTheme="minorHAnsi" w:cstheme="minorBidi"/>
          <w:szCs w:val="22"/>
          <w:lang w:eastAsia="en-US"/>
        </w:rPr>
      </w:pPr>
      <w:r w:rsidRPr="00DE1FC9">
        <w:rPr>
          <w:rFonts w:eastAsiaTheme="minorHAnsi" w:cstheme="minorBidi"/>
          <w:szCs w:val="22"/>
          <w:lang w:eastAsia="en-US"/>
        </w:rPr>
        <w:t xml:space="preserve">Konto 35 – Der var 11 revalidender på arbejdsprøvning, og 17 i virksomhedsrevalidering og 6 på flexjob. 68 personer har gået i kursus. </w:t>
      </w:r>
    </w:p>
    <w:p w:rsidR="00DE1FC9" w:rsidRPr="00DE1FC9" w:rsidRDefault="00DE1FC9" w:rsidP="00DE1FC9">
      <w:pPr>
        <w:tabs>
          <w:tab w:val="clear" w:pos="284"/>
        </w:tabs>
        <w:spacing w:after="160" w:line="259" w:lineRule="auto"/>
        <w:ind w:left="720" w:hanging="360"/>
        <w:contextualSpacing/>
        <w:jc w:val="both"/>
        <w:rPr>
          <w:rFonts w:eastAsiaTheme="minorHAnsi" w:cstheme="minorBidi"/>
          <w:szCs w:val="22"/>
          <w:lang w:eastAsia="en-US"/>
        </w:rPr>
      </w:pPr>
      <w:r w:rsidRPr="00DE1FC9">
        <w:rPr>
          <w:rFonts w:eastAsiaTheme="minorHAnsi" w:cstheme="minorBidi"/>
          <w:noProof/>
          <w:szCs w:val="22"/>
        </w:rPr>
        <w:lastRenderedPageBreak/>
        <w:drawing>
          <wp:inline distT="0" distB="0" distL="0" distR="0" wp14:anchorId="228D2FA5" wp14:editId="1D69A00A">
            <wp:extent cx="6120130" cy="236295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362950"/>
                    </a:xfrm>
                    <a:prstGeom prst="rect">
                      <a:avLst/>
                    </a:prstGeom>
                    <a:noFill/>
                    <a:ln>
                      <a:noFill/>
                    </a:ln>
                  </pic:spPr>
                </pic:pic>
              </a:graphicData>
            </a:graphic>
          </wp:inline>
        </w:drawing>
      </w:r>
    </w:p>
    <w:p w:rsidR="00DE1FC9" w:rsidRPr="00DE1FC9" w:rsidRDefault="00DE1FC9" w:rsidP="00DE1FC9">
      <w:pPr>
        <w:tabs>
          <w:tab w:val="clear" w:pos="284"/>
        </w:tabs>
        <w:spacing w:after="160" w:line="259" w:lineRule="auto"/>
        <w:ind w:left="720" w:hanging="360"/>
        <w:contextualSpacing/>
        <w:jc w:val="both"/>
        <w:rPr>
          <w:rFonts w:eastAsiaTheme="minorHAnsi" w:cstheme="minorBidi"/>
          <w:szCs w:val="22"/>
          <w:lang w:eastAsia="en-US"/>
        </w:rPr>
      </w:pPr>
    </w:p>
    <w:p w:rsidR="00DE1FC9" w:rsidRPr="00DE1FC9" w:rsidRDefault="00DE1FC9" w:rsidP="00DE1FC9">
      <w:pPr>
        <w:tabs>
          <w:tab w:val="clear" w:pos="284"/>
        </w:tabs>
        <w:spacing w:after="160" w:line="259" w:lineRule="auto"/>
        <w:ind w:left="720" w:hanging="360"/>
        <w:contextualSpacing/>
        <w:jc w:val="both"/>
        <w:rPr>
          <w:rFonts w:eastAsiaTheme="minorHAnsi" w:cstheme="minorBidi"/>
          <w:szCs w:val="22"/>
          <w:lang w:eastAsia="en-US"/>
        </w:rPr>
      </w:pPr>
      <w:r w:rsidRPr="00DE1FC9">
        <w:rPr>
          <w:rFonts w:eastAsiaTheme="minorHAnsi" w:cstheme="minorBidi"/>
          <w:noProof/>
          <w:szCs w:val="22"/>
        </w:rPr>
        <w:drawing>
          <wp:inline distT="0" distB="0" distL="0" distR="0" wp14:anchorId="782D63F7" wp14:editId="0060EDC0">
            <wp:extent cx="6120130" cy="1901224"/>
            <wp:effectExtent l="0" t="0" r="0" b="381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901224"/>
                    </a:xfrm>
                    <a:prstGeom prst="rect">
                      <a:avLst/>
                    </a:prstGeom>
                    <a:noFill/>
                    <a:ln>
                      <a:noFill/>
                    </a:ln>
                  </pic:spPr>
                </pic:pic>
              </a:graphicData>
            </a:graphic>
          </wp:inline>
        </w:drawing>
      </w:r>
    </w:p>
    <w:p w:rsidR="00DE1FC9" w:rsidRPr="00DE1FC9" w:rsidRDefault="00DE1FC9" w:rsidP="00DE1FC9">
      <w:pPr>
        <w:tabs>
          <w:tab w:val="clear" w:pos="284"/>
        </w:tabs>
        <w:spacing w:after="160" w:line="259" w:lineRule="auto"/>
        <w:ind w:left="720" w:hanging="360"/>
        <w:contextualSpacing/>
        <w:jc w:val="both"/>
        <w:rPr>
          <w:rFonts w:eastAsiaTheme="minorHAnsi" w:cstheme="minorBidi"/>
          <w:szCs w:val="22"/>
          <w:lang w:eastAsia="en-US"/>
        </w:rPr>
      </w:pPr>
      <w:r w:rsidRPr="00DE1FC9">
        <w:rPr>
          <w:rFonts w:eastAsiaTheme="minorHAnsi" w:cstheme="minorBidi"/>
          <w:noProof/>
          <w:szCs w:val="22"/>
        </w:rPr>
        <w:drawing>
          <wp:inline distT="0" distB="0" distL="0" distR="0" wp14:anchorId="218D8B56" wp14:editId="4E2718A4">
            <wp:extent cx="6120130" cy="977772"/>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977772"/>
                    </a:xfrm>
                    <a:prstGeom prst="rect">
                      <a:avLst/>
                    </a:prstGeom>
                    <a:noFill/>
                    <a:ln>
                      <a:noFill/>
                    </a:ln>
                  </pic:spPr>
                </pic:pic>
              </a:graphicData>
            </a:graphic>
          </wp:inline>
        </w:drawing>
      </w:r>
    </w:p>
    <w:p w:rsidR="00DE1FC9" w:rsidRPr="00DE1FC9" w:rsidRDefault="00DE1FC9" w:rsidP="00DE1FC9">
      <w:pPr>
        <w:tabs>
          <w:tab w:val="clear" w:pos="284"/>
        </w:tabs>
        <w:spacing w:after="160" w:line="259" w:lineRule="auto"/>
        <w:ind w:left="720" w:hanging="360"/>
        <w:contextualSpacing/>
        <w:jc w:val="both"/>
        <w:rPr>
          <w:rFonts w:eastAsiaTheme="minorHAnsi" w:cstheme="minorBidi"/>
          <w:szCs w:val="22"/>
          <w:lang w:eastAsia="en-US"/>
        </w:rPr>
      </w:pPr>
      <w:r w:rsidRPr="00DE1FC9">
        <w:rPr>
          <w:rFonts w:eastAsiaTheme="minorHAnsi" w:cstheme="minorBidi"/>
          <w:szCs w:val="22"/>
          <w:lang w:eastAsia="en-US"/>
        </w:rPr>
        <w:t xml:space="preserve">Konto 38 – Der er overforbrug af lønmidler. Dette skyldtes at der er fejlposteret med Mentor løn og løn til </w:t>
      </w:r>
      <w:proofErr w:type="spellStart"/>
      <w:r w:rsidRPr="00DE1FC9">
        <w:rPr>
          <w:rFonts w:eastAsiaTheme="minorHAnsi" w:cstheme="minorBidi"/>
          <w:szCs w:val="22"/>
          <w:lang w:eastAsia="en-US"/>
        </w:rPr>
        <w:t>Nutaaliorfeeraq</w:t>
      </w:r>
      <w:proofErr w:type="spellEnd"/>
      <w:r w:rsidRPr="00DE1FC9">
        <w:rPr>
          <w:rFonts w:eastAsiaTheme="minorHAnsi" w:cstheme="minorBidi"/>
          <w:szCs w:val="22"/>
          <w:lang w:eastAsia="en-US"/>
        </w:rPr>
        <w:t xml:space="preserve">. Der er også overforbrug af Diverse varekøb. Der foranstaltes fremadrettet med indkøb. Der er indgået en vagt aftale til Kollegiet. Men det er nu ophævet.  </w:t>
      </w:r>
    </w:p>
    <w:p w:rsidR="00DE1FC9" w:rsidRPr="00DE1FC9" w:rsidRDefault="00DE1FC9" w:rsidP="00DE1FC9">
      <w:pPr>
        <w:tabs>
          <w:tab w:val="clear" w:pos="284"/>
        </w:tabs>
        <w:spacing w:after="160" w:line="259" w:lineRule="auto"/>
        <w:ind w:left="720" w:hanging="360"/>
        <w:contextualSpacing/>
        <w:jc w:val="both"/>
        <w:rPr>
          <w:rFonts w:eastAsiaTheme="minorHAnsi" w:cstheme="minorBidi"/>
          <w:szCs w:val="22"/>
          <w:lang w:eastAsia="en-US"/>
        </w:rPr>
      </w:pPr>
      <w:r w:rsidRPr="00DE1FC9">
        <w:rPr>
          <w:rFonts w:eastAsiaTheme="minorHAnsi" w:cstheme="minorBidi"/>
          <w:noProof/>
          <w:szCs w:val="22"/>
        </w:rPr>
        <w:drawing>
          <wp:inline distT="0" distB="0" distL="0" distR="0" wp14:anchorId="4CE92EDC" wp14:editId="28B77B40">
            <wp:extent cx="6120130" cy="1285589"/>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285589"/>
                    </a:xfrm>
                    <a:prstGeom prst="rect">
                      <a:avLst/>
                    </a:prstGeom>
                    <a:noFill/>
                    <a:ln>
                      <a:noFill/>
                    </a:ln>
                  </pic:spPr>
                </pic:pic>
              </a:graphicData>
            </a:graphic>
          </wp:inline>
        </w:drawing>
      </w:r>
    </w:p>
    <w:p w:rsidR="00DE1FC9" w:rsidRPr="00DE1FC9" w:rsidRDefault="00DE1FC9" w:rsidP="00DE1FC9">
      <w:pPr>
        <w:tabs>
          <w:tab w:val="clear" w:pos="284"/>
        </w:tabs>
        <w:spacing w:after="160" w:line="259" w:lineRule="auto"/>
        <w:ind w:left="720" w:hanging="360"/>
        <w:contextualSpacing/>
        <w:jc w:val="both"/>
        <w:rPr>
          <w:rFonts w:eastAsiaTheme="minorHAnsi" w:cstheme="minorBidi"/>
          <w:szCs w:val="22"/>
          <w:lang w:eastAsia="en-US"/>
        </w:rPr>
      </w:pPr>
      <w:r w:rsidRPr="00DE1FC9">
        <w:rPr>
          <w:rFonts w:eastAsiaTheme="minorHAnsi" w:cstheme="minorBidi"/>
          <w:szCs w:val="22"/>
          <w:lang w:eastAsia="en-US"/>
        </w:rPr>
        <w:t>Konto 39. Der er mindre forbrug på Arbejdsmarkeds ydelser, men overforbrug i Arbejdsmarkeds ydelse under sygdom.</w:t>
      </w:r>
    </w:p>
    <w:p w:rsidR="00DE1FC9" w:rsidRPr="00DE1FC9" w:rsidRDefault="00DE1FC9" w:rsidP="00DE1FC9">
      <w:pPr>
        <w:tabs>
          <w:tab w:val="clear" w:pos="284"/>
        </w:tabs>
        <w:spacing w:after="160" w:line="259" w:lineRule="auto"/>
        <w:ind w:left="720" w:hanging="360"/>
        <w:contextualSpacing/>
        <w:jc w:val="both"/>
        <w:rPr>
          <w:rFonts w:eastAsiaTheme="minorHAnsi" w:cstheme="minorBidi"/>
          <w:b/>
          <w:szCs w:val="22"/>
          <w:lang w:eastAsia="en-US"/>
        </w:rPr>
      </w:pPr>
      <w:r w:rsidRPr="00DE1FC9">
        <w:rPr>
          <w:rFonts w:eastAsiaTheme="minorHAnsi" w:cstheme="minorBidi"/>
          <w:b/>
          <w:szCs w:val="22"/>
          <w:lang w:eastAsia="en-US"/>
        </w:rPr>
        <w:br w:type="page"/>
      </w: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r w:rsidRPr="00DE1FC9">
        <w:rPr>
          <w:rFonts w:eastAsiaTheme="minorHAnsi" w:cstheme="minorBidi"/>
          <w:b/>
          <w:szCs w:val="22"/>
          <w:lang w:eastAsia="en-US"/>
        </w:rPr>
        <w:lastRenderedPageBreak/>
        <w:t>Konto 5 – uddannelsesområdet Sisimiut + Bygder</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noProof/>
          <w:szCs w:val="22"/>
        </w:rPr>
        <w:drawing>
          <wp:inline distT="0" distB="0" distL="0" distR="0" wp14:anchorId="22000B1C" wp14:editId="76B7083C">
            <wp:extent cx="6113780" cy="1956391"/>
            <wp:effectExtent l="0" t="0" r="127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0917" cy="1961875"/>
                    </a:xfrm>
                    <a:prstGeom prst="rect">
                      <a:avLst/>
                    </a:prstGeom>
                    <a:noFill/>
                    <a:ln>
                      <a:noFill/>
                    </a:ln>
                  </pic:spPr>
                </pic:pic>
              </a:graphicData>
            </a:graphic>
          </wp:inline>
        </w:drawing>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Undervisning og Kultur i Sisimiut har et samlet forbrug på 177.439 mio. kr. ud af en bevilling på 235.417 mio. kr. det svare til et forbrug på 74,9 %</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p>
    <w:p w:rsidR="00DE1FC9" w:rsidRPr="00DE1FC9" w:rsidRDefault="00DE1FC9" w:rsidP="00DE1FC9">
      <w:pPr>
        <w:tabs>
          <w:tab w:val="clear" w:pos="284"/>
        </w:tabs>
        <w:spacing w:after="160" w:line="259" w:lineRule="auto"/>
        <w:ind w:left="720" w:hanging="360"/>
        <w:contextualSpacing/>
        <w:jc w:val="both"/>
        <w:rPr>
          <w:rFonts w:eastAsiaTheme="minorHAnsi" w:cstheme="minorBidi"/>
          <w:b/>
          <w:szCs w:val="22"/>
          <w:lang w:eastAsia="en-US"/>
        </w:rPr>
      </w:pPr>
      <w:r w:rsidRPr="00DE1FC9">
        <w:rPr>
          <w:rFonts w:eastAsiaTheme="minorHAnsi" w:cstheme="minorBidi"/>
          <w:b/>
          <w:szCs w:val="22"/>
          <w:lang w:eastAsia="en-US"/>
        </w:rPr>
        <w:t>Konto 50 – Dagsforanstaltninger for børn og unge i Sisimiut + Bygder</w:t>
      </w: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r w:rsidRPr="00DE1FC9">
        <w:rPr>
          <w:rFonts w:eastAsiaTheme="minorHAnsi" w:cstheme="minorBidi"/>
          <w:noProof/>
          <w:szCs w:val="22"/>
        </w:rPr>
        <w:drawing>
          <wp:inline distT="0" distB="0" distL="0" distR="0" wp14:anchorId="66C3E88B" wp14:editId="04BD1B5B">
            <wp:extent cx="6134986" cy="2222500"/>
            <wp:effectExtent l="0" t="0" r="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4121" cy="2225809"/>
                    </a:xfrm>
                    <a:prstGeom prst="rect">
                      <a:avLst/>
                    </a:prstGeom>
                    <a:noFill/>
                    <a:ln>
                      <a:noFill/>
                    </a:ln>
                  </pic:spPr>
                </pic:pic>
              </a:graphicData>
            </a:graphic>
          </wp:inline>
        </w:drawing>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Daginstitutioner har et samlet forbrug på 51.174</w:t>
      </w:r>
      <w:r w:rsidRPr="00DE1FC9">
        <w:rPr>
          <w:rFonts w:eastAsiaTheme="minorHAnsi" w:cstheme="minorBidi"/>
          <w:color w:val="FF0000"/>
          <w:szCs w:val="22"/>
          <w:lang w:eastAsia="en-US"/>
        </w:rPr>
        <w:t xml:space="preserve"> </w:t>
      </w:r>
      <w:r w:rsidRPr="00DE1FC9">
        <w:rPr>
          <w:rFonts w:eastAsiaTheme="minorHAnsi" w:cstheme="minorBidi"/>
          <w:szCs w:val="22"/>
          <w:lang w:eastAsia="en-US"/>
        </w:rPr>
        <w:t>mio. kr. ud af en bevilling på 68.942 mio. kr. det svare til en forbrug på 73,0 %</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Konto 50-01 Fællesformål forbrug ligger på 57,1% der hvor januar måned som fri for forældreindbetalinger.</w:t>
      </w:r>
    </w:p>
    <w:p w:rsidR="00DE1FC9" w:rsidRPr="00DE1FC9" w:rsidRDefault="00DE1FC9" w:rsidP="00DE1FC9">
      <w:pPr>
        <w:tabs>
          <w:tab w:val="clear" w:pos="284"/>
        </w:tabs>
        <w:spacing w:after="160"/>
        <w:ind w:left="720" w:hanging="360"/>
        <w:contextualSpacing/>
        <w:jc w:val="both"/>
        <w:rPr>
          <w:rFonts w:eastAsiaTheme="minorHAnsi" w:cstheme="minorBidi"/>
          <w:color w:val="FF0000"/>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 xml:space="preserve">3 kvartal af 2019 viser et samlet forbrug på 71,2 %. De to fritidshjem har et gennemsnitlig forbrug på 72%, daginstitutionerne har et gennemsnitlig forbrug på 70,79%. Samlet set er det et tilfredsstillende resultat for 3. kvartal, hvor forbrugsprocenten maksimalt må være 75%.  </w:t>
      </w:r>
      <w:r w:rsidRPr="00DE1FC9">
        <w:rPr>
          <w:rFonts w:eastAsiaTheme="minorHAnsi" w:cstheme="minorBidi"/>
          <w:szCs w:val="22"/>
          <w:lang w:eastAsia="en-US"/>
        </w:rPr>
        <w:br/>
        <w:t xml:space="preserve">Der er indgivet ønsker omkring omplacering på forskellige konti, som er videregivet til økonomiudvalget. Den største enkelt udfordring for stort set alle institutioner er vikarforbruget. Dette skyldes både hyppige korte fraværsperioder og langvarige fraværsperioder og udskiftninger i personalet. </w:t>
      </w:r>
      <w:r w:rsidRPr="00DE1FC9">
        <w:rPr>
          <w:rFonts w:eastAsiaTheme="minorHAnsi" w:cstheme="minorBidi"/>
          <w:szCs w:val="22"/>
          <w:lang w:eastAsia="en-US"/>
        </w:rPr>
        <w:br/>
        <w:t xml:space="preserve">Flere institutioner har indkøbt dagligdagsvarer såsom kontorhold og rengøringsartikler til længere perioder, hvilket i perioder kan give et overbrug på disse konti. Institutionerne arbejder godt med at sikre, at forbruget ikke overstiger de fastlagte rammer. Der er nogle få, som er mere udfordret og det er primært af de årsager, der er nævnt. </w:t>
      </w:r>
    </w:p>
    <w:p w:rsidR="00DE1FC9" w:rsidRPr="00DE1FC9" w:rsidRDefault="00DE1FC9" w:rsidP="00DE1FC9">
      <w:pPr>
        <w:tabs>
          <w:tab w:val="clear" w:pos="284"/>
        </w:tabs>
        <w:spacing w:after="160"/>
        <w:ind w:left="720" w:hanging="360"/>
        <w:contextualSpacing/>
        <w:jc w:val="both"/>
        <w:rPr>
          <w:rFonts w:eastAsiaTheme="minorHAnsi" w:cstheme="minorBidi"/>
          <w:color w:val="FF0000"/>
          <w:szCs w:val="22"/>
          <w:lang w:eastAsia="en-US"/>
        </w:rPr>
      </w:pPr>
      <w:r w:rsidRPr="00DE1FC9">
        <w:rPr>
          <w:rFonts w:eastAsiaTheme="minorHAnsi" w:cstheme="minorBidi"/>
          <w:color w:val="FF0000"/>
          <w:szCs w:val="22"/>
          <w:lang w:eastAsia="en-US"/>
        </w:rPr>
        <w:t xml:space="preserve">    </w:t>
      </w: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r w:rsidRPr="00DE1FC9">
        <w:rPr>
          <w:rFonts w:eastAsiaTheme="minorHAnsi" w:cstheme="minorBidi"/>
          <w:b/>
          <w:szCs w:val="22"/>
          <w:lang w:eastAsia="en-US"/>
        </w:rPr>
        <w:br w:type="page"/>
      </w:r>
      <w:r w:rsidRPr="00DE1FC9">
        <w:rPr>
          <w:rFonts w:eastAsiaTheme="minorHAnsi" w:cstheme="minorBidi"/>
          <w:b/>
          <w:szCs w:val="22"/>
          <w:lang w:eastAsia="en-US"/>
        </w:rPr>
        <w:lastRenderedPageBreak/>
        <w:t>Konto 51 – Skolevæsenet Sisimiut + Bygderne</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noProof/>
          <w:szCs w:val="22"/>
        </w:rPr>
        <w:drawing>
          <wp:inline distT="0" distB="0" distL="0" distR="0" wp14:anchorId="65CF1306" wp14:editId="5419CA62">
            <wp:extent cx="6113145" cy="1329070"/>
            <wp:effectExtent l="0" t="0" r="1905" b="444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7845" cy="1336614"/>
                    </a:xfrm>
                    <a:prstGeom prst="rect">
                      <a:avLst/>
                    </a:prstGeom>
                    <a:noFill/>
                    <a:ln>
                      <a:noFill/>
                    </a:ln>
                  </pic:spPr>
                </pic:pic>
              </a:graphicData>
            </a:graphic>
          </wp:inline>
        </w:drawing>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Skolevæsenet: Konto 51 Skolevæsenet har et samlet forbrug på 60.503 mio. kr. ud af en bevilling på 77.280 mio. kr. det svare til en forbrug på 78,3 %. Der er merforbrug i skolens personaleomkostninger.</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r w:rsidRPr="00DE1FC9">
        <w:rPr>
          <w:rFonts w:eastAsiaTheme="minorHAnsi" w:cstheme="minorBidi"/>
          <w:b/>
          <w:szCs w:val="22"/>
          <w:lang w:eastAsia="en-US"/>
        </w:rPr>
        <w:t>Minngortuunnguup Atuarfia</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Månedsløn ved udarbejdelsen af budgettet for 2019 varder ikke kendskab til nyligt afsluttede overenskomst medbagudrettede lønreguleringer for lærerpersonalet.</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rPr>
        <w:t xml:space="preserve">Lærervikar </w:t>
      </w:r>
      <w:r w:rsidRPr="00DE1FC9">
        <w:rPr>
          <w:rFonts w:eastAsiaTheme="minorHAnsi" w:cstheme="minorBidi"/>
          <w:szCs w:val="22"/>
          <w:lang w:eastAsia="en-US"/>
        </w:rPr>
        <w:t>der forventes et mindre forbrug på kontoen.</w:t>
      </w:r>
    </w:p>
    <w:p w:rsidR="00DE1FC9" w:rsidRPr="00DE1FC9" w:rsidRDefault="00DE1FC9" w:rsidP="00DE1FC9">
      <w:pPr>
        <w:tabs>
          <w:tab w:val="clear" w:pos="284"/>
          <w:tab w:val="left" w:pos="1215"/>
        </w:tabs>
        <w:spacing w:after="160"/>
        <w:ind w:left="720" w:hanging="360"/>
        <w:contextualSpacing/>
        <w:jc w:val="both"/>
        <w:rPr>
          <w:rFonts w:eastAsiaTheme="minorHAnsi" w:cstheme="minorBidi"/>
          <w:szCs w:val="22"/>
          <w:lang w:eastAsia="en-US"/>
        </w:rPr>
      </w:pPr>
      <w:r w:rsidRPr="00DE1FC9">
        <w:rPr>
          <w:rFonts w:eastAsiaTheme="minorHAnsi" w:cstheme="minorBidi"/>
          <w:szCs w:val="22"/>
        </w:rPr>
        <w:t xml:space="preserve">Overtid forudlønnet månedsløn </w:t>
      </w:r>
      <w:r w:rsidRPr="00DE1FC9">
        <w:rPr>
          <w:rFonts w:eastAsiaTheme="minorHAnsi" w:cstheme="minorBidi"/>
          <w:szCs w:val="22"/>
          <w:lang w:eastAsia="en-US"/>
        </w:rPr>
        <w:t>der forventes et mindre forbrug på kontoen.</w:t>
      </w:r>
    </w:p>
    <w:p w:rsidR="00DE1FC9" w:rsidRPr="00DE1FC9" w:rsidRDefault="00DE1FC9" w:rsidP="00DE1FC9">
      <w:pPr>
        <w:tabs>
          <w:tab w:val="clear" w:pos="284"/>
          <w:tab w:val="left" w:pos="1215"/>
        </w:tabs>
        <w:spacing w:after="160"/>
        <w:ind w:left="720" w:hanging="360"/>
        <w:contextualSpacing/>
        <w:jc w:val="both"/>
        <w:rPr>
          <w:rFonts w:eastAsiaTheme="minorHAnsi" w:cstheme="minorBidi"/>
          <w:szCs w:val="22"/>
          <w:lang w:eastAsia="en-US"/>
        </w:rPr>
      </w:pPr>
      <w:r w:rsidRPr="00DE1FC9">
        <w:rPr>
          <w:rFonts w:eastAsiaTheme="minorHAnsi" w:cstheme="minorBidi"/>
          <w:szCs w:val="22"/>
        </w:rPr>
        <w:t xml:space="preserve">Tjenesterejser </w:t>
      </w:r>
      <w:r w:rsidRPr="00DE1FC9">
        <w:rPr>
          <w:rFonts w:eastAsiaTheme="minorHAnsi" w:cstheme="minorBidi"/>
          <w:szCs w:val="22"/>
          <w:lang w:eastAsia="en-US"/>
        </w:rPr>
        <w:t>kontoen forventes brugt da der er planlagte tjenesterejser samt tjenesterejser afholdt i den mellemlæggende periode.</w:t>
      </w:r>
    </w:p>
    <w:p w:rsidR="00DE1FC9" w:rsidRPr="00DE1FC9" w:rsidRDefault="00DE1FC9" w:rsidP="00DE1FC9">
      <w:pPr>
        <w:tabs>
          <w:tab w:val="clear" w:pos="284"/>
          <w:tab w:val="left" w:pos="1215"/>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Personale udskiftning Pga. personaleudskiftning i den mellemlæggende periode forventes kontoen forbrugt.</w:t>
      </w:r>
    </w:p>
    <w:p w:rsidR="00DE1FC9" w:rsidRPr="00DE1FC9" w:rsidRDefault="00DE1FC9" w:rsidP="00DE1FC9">
      <w:pPr>
        <w:tabs>
          <w:tab w:val="clear" w:pos="284"/>
          <w:tab w:val="left" w:pos="1215"/>
        </w:tabs>
        <w:spacing w:after="160"/>
        <w:ind w:left="720" w:hanging="360"/>
        <w:contextualSpacing/>
        <w:jc w:val="both"/>
        <w:rPr>
          <w:rFonts w:eastAsiaTheme="minorHAnsi" w:cstheme="minorBidi"/>
          <w:szCs w:val="22"/>
          <w:lang w:eastAsia="en-US"/>
        </w:rPr>
      </w:pPr>
      <w:r w:rsidRPr="00DE1FC9">
        <w:rPr>
          <w:rFonts w:eastAsiaTheme="minorHAnsi" w:cstheme="minorBidi"/>
          <w:szCs w:val="22"/>
        </w:rPr>
        <w:t xml:space="preserve">Kursusafgifter/afgifter </w:t>
      </w:r>
      <w:r w:rsidRPr="00DE1FC9">
        <w:rPr>
          <w:rFonts w:eastAsiaTheme="minorHAnsi" w:cstheme="minorBidi"/>
          <w:szCs w:val="22"/>
          <w:lang w:eastAsia="en-US"/>
        </w:rPr>
        <w:t>der har været afholdt interne kurser for hele det pædagogiske personale i uge 42 samt andre eksterne kurser for enkelte personaler. Kontoen forventes forbrugt.</w:t>
      </w:r>
    </w:p>
    <w:p w:rsidR="00DE1FC9" w:rsidRPr="00DE1FC9" w:rsidRDefault="00DE1FC9" w:rsidP="00DE1FC9">
      <w:pPr>
        <w:tabs>
          <w:tab w:val="clear" w:pos="284"/>
          <w:tab w:val="left" w:pos="1215"/>
        </w:tabs>
        <w:spacing w:after="160"/>
        <w:ind w:left="720" w:hanging="360"/>
        <w:contextualSpacing/>
        <w:jc w:val="both"/>
        <w:rPr>
          <w:rFonts w:eastAsiaTheme="minorHAnsi" w:cstheme="minorBidi"/>
          <w:szCs w:val="22"/>
          <w:lang w:eastAsia="en-US"/>
        </w:rPr>
      </w:pPr>
      <w:r w:rsidRPr="00DE1FC9">
        <w:rPr>
          <w:rFonts w:eastAsiaTheme="minorHAnsi" w:cstheme="minorBidi"/>
          <w:szCs w:val="22"/>
        </w:rPr>
        <w:t xml:space="preserve">Diverse personaleomkostninger </w:t>
      </w:r>
      <w:r w:rsidRPr="00DE1FC9">
        <w:rPr>
          <w:rFonts w:eastAsiaTheme="minorHAnsi" w:cstheme="minorBidi"/>
          <w:szCs w:val="22"/>
          <w:lang w:eastAsia="en-US"/>
        </w:rPr>
        <w:t>der henvises til bemærkningerne for 2. kvartal afgivet den 19. juli 2019.</w:t>
      </w:r>
    </w:p>
    <w:p w:rsidR="00DE1FC9" w:rsidRPr="00DE1FC9" w:rsidRDefault="00DE1FC9" w:rsidP="00DE1FC9">
      <w:pPr>
        <w:tabs>
          <w:tab w:val="clear" w:pos="284"/>
          <w:tab w:val="left" w:pos="1215"/>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Lejrskoler afholdt i slut september og oktober. Forventes forbrugt.</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rPr>
        <w:t xml:space="preserve">Elevrejser </w:t>
      </w:r>
      <w:r w:rsidRPr="00DE1FC9">
        <w:rPr>
          <w:rFonts w:eastAsiaTheme="minorHAnsi" w:cstheme="minorBidi"/>
          <w:szCs w:val="22"/>
          <w:lang w:eastAsia="en-US"/>
        </w:rPr>
        <w:t>forventes forbrugt.</w:t>
      </w:r>
    </w:p>
    <w:p w:rsidR="00DE1FC9" w:rsidRPr="00DE1FC9" w:rsidRDefault="00DE1FC9" w:rsidP="00DE1FC9">
      <w:pPr>
        <w:tabs>
          <w:tab w:val="clear" w:pos="284"/>
        </w:tabs>
        <w:spacing w:after="160"/>
        <w:ind w:left="720" w:hanging="360"/>
        <w:contextualSpacing/>
        <w:jc w:val="both"/>
        <w:rPr>
          <w:rFonts w:eastAsiaTheme="minorHAnsi" w:cstheme="minorBidi"/>
          <w:color w:val="FF0000"/>
          <w:szCs w:val="22"/>
          <w:lang w:eastAsia="en-US"/>
        </w:rPr>
      </w:pPr>
      <w:r w:rsidRPr="00DE1FC9">
        <w:rPr>
          <w:rFonts w:eastAsiaTheme="minorHAnsi" w:cstheme="minorBidi"/>
          <w:szCs w:val="22"/>
        </w:rPr>
        <w:t>Køb af undervisningsmaterialer i</w:t>
      </w:r>
      <w:r w:rsidRPr="00DE1FC9">
        <w:rPr>
          <w:rFonts w:eastAsiaTheme="minorHAnsi" w:cstheme="minorBidi"/>
          <w:szCs w:val="22"/>
          <w:lang w:eastAsia="en-US"/>
        </w:rPr>
        <w:t xml:space="preserve">ndkøb af undervisningsmaterialer foretaget, kontoen forventes forbrugt. </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rPr>
        <w:t xml:space="preserve">Materiel/inventar </w:t>
      </w:r>
      <w:r w:rsidRPr="00DE1FC9">
        <w:rPr>
          <w:rFonts w:eastAsiaTheme="minorHAnsi" w:cstheme="minorBidi"/>
          <w:szCs w:val="22"/>
          <w:lang w:eastAsia="en-US"/>
        </w:rPr>
        <w:t>der henvises til bemærkningerne for 2. kvartal afgivet den 19. juli 2019.</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rPr>
        <w:t>Vand</w:t>
      </w:r>
      <w:r w:rsidRPr="00DE1FC9">
        <w:rPr>
          <w:rFonts w:eastAsiaTheme="minorHAnsi" w:cstheme="minorBidi"/>
          <w:szCs w:val="22"/>
          <w:lang w:eastAsia="en-US"/>
        </w:rPr>
        <w:t xml:space="preserve"> den afsatte budgetramme forventes forbrugt. Der kommer regninger for forbrug senere i perioden.</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El den afsatte budgetramme forventes forbrugt. Der kommer regninger for forbrug senere i perioden.</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rPr>
        <w:t xml:space="preserve">Olie til opvarmning </w:t>
      </w:r>
      <w:r w:rsidRPr="00DE1FC9">
        <w:rPr>
          <w:rFonts w:eastAsiaTheme="minorHAnsi" w:cstheme="minorBidi"/>
          <w:szCs w:val="22"/>
          <w:lang w:eastAsia="en-US"/>
        </w:rPr>
        <w:t>den afsatte budgetramme forventes forbrugt. Der kommer regninger for forbrug senere i perioden.</w:t>
      </w:r>
    </w:p>
    <w:p w:rsidR="00DE1FC9" w:rsidRPr="00DE1FC9" w:rsidRDefault="00DE1FC9" w:rsidP="00DE1FC9">
      <w:pPr>
        <w:tabs>
          <w:tab w:val="clear" w:pos="284"/>
        </w:tabs>
        <w:spacing w:after="160"/>
        <w:ind w:left="720" w:hanging="360"/>
        <w:contextualSpacing/>
        <w:jc w:val="both"/>
        <w:rPr>
          <w:rFonts w:eastAsiaTheme="minorHAnsi" w:cstheme="minorBidi"/>
          <w:color w:val="FF0000"/>
          <w:szCs w:val="22"/>
          <w:lang w:eastAsia="en-US"/>
        </w:rPr>
      </w:pPr>
      <w:r w:rsidRPr="00DE1FC9">
        <w:rPr>
          <w:rFonts w:eastAsiaTheme="minorHAnsi" w:cstheme="minorBidi"/>
          <w:szCs w:val="22"/>
        </w:rPr>
        <w:t xml:space="preserve">Øvrige driftsmidler </w:t>
      </w:r>
      <w:r w:rsidRPr="00DE1FC9">
        <w:rPr>
          <w:rFonts w:eastAsiaTheme="minorHAnsi" w:cstheme="minorBidi"/>
          <w:szCs w:val="22"/>
          <w:lang w:eastAsia="en-US"/>
        </w:rPr>
        <w:t>I forbindelse med tidligere barselsvikar for skolesekretæren på kontoret er der foretaget forkert kontering. Der er rettet henvendelse til kommunens bogholderi/økonomiafdeling med henblik på at få rettet konteringen. Kontoen for at ramme det det afsatte budget.</w:t>
      </w:r>
    </w:p>
    <w:p w:rsidR="00DE1FC9" w:rsidRPr="00DE1FC9" w:rsidRDefault="00DE1FC9" w:rsidP="00DE1FC9">
      <w:pPr>
        <w:tabs>
          <w:tab w:val="clear" w:pos="284"/>
        </w:tabs>
        <w:spacing w:after="160"/>
        <w:ind w:left="720" w:hanging="360"/>
        <w:contextualSpacing/>
        <w:jc w:val="both"/>
        <w:rPr>
          <w:rFonts w:eastAsiaTheme="minorHAnsi" w:cstheme="minorBidi"/>
          <w:color w:val="FF0000"/>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color w:val="FF0000"/>
          <w:szCs w:val="22"/>
          <w:lang w:eastAsia="en-US"/>
        </w:rPr>
      </w:pPr>
    </w:p>
    <w:p w:rsidR="00DE1FC9" w:rsidRPr="00DE1FC9" w:rsidRDefault="00DE1FC9" w:rsidP="00DE1FC9">
      <w:pPr>
        <w:tabs>
          <w:tab w:val="clear" w:pos="284"/>
        </w:tabs>
        <w:spacing w:after="160"/>
        <w:ind w:left="720" w:hanging="360"/>
        <w:contextualSpacing/>
        <w:jc w:val="both"/>
        <w:rPr>
          <w:rFonts w:cstheme="minorBidi"/>
          <w:b/>
          <w:szCs w:val="24"/>
          <w:lang w:eastAsia="en-US"/>
        </w:rPr>
      </w:pPr>
      <w:r w:rsidRPr="00DE1FC9">
        <w:rPr>
          <w:rFonts w:cstheme="minorBidi"/>
          <w:b/>
          <w:szCs w:val="24"/>
          <w:lang w:eastAsia="en-US"/>
        </w:rPr>
        <w:t>Nalunnguarfiup Atuarfia</w:t>
      </w:r>
    </w:p>
    <w:p w:rsidR="00DE1FC9" w:rsidRPr="00DE1FC9" w:rsidRDefault="00DE1FC9" w:rsidP="00DE1FC9">
      <w:pPr>
        <w:tabs>
          <w:tab w:val="clear" w:pos="284"/>
        </w:tabs>
        <w:spacing w:after="160"/>
        <w:ind w:left="720" w:hanging="360"/>
        <w:contextualSpacing/>
        <w:jc w:val="both"/>
        <w:rPr>
          <w:rFonts w:cstheme="minorBidi"/>
          <w:szCs w:val="24"/>
          <w:lang w:eastAsia="en-US"/>
        </w:rPr>
      </w:pPr>
      <w:r w:rsidRPr="00DE1FC9">
        <w:rPr>
          <w:rFonts w:cstheme="minorBidi"/>
          <w:szCs w:val="24"/>
          <w:lang w:eastAsia="en-US"/>
        </w:rPr>
        <w:t>Månedslønnet forud, bagud og skolekonsulenter har fået regulering, jf. den nyligt afsluttede overenskomst forhandling</w:t>
      </w:r>
    </w:p>
    <w:p w:rsidR="00DE1FC9" w:rsidRPr="00DE1FC9" w:rsidRDefault="00DE1FC9" w:rsidP="00DE1FC9">
      <w:pPr>
        <w:tabs>
          <w:tab w:val="clear" w:pos="284"/>
        </w:tabs>
        <w:spacing w:after="160"/>
        <w:ind w:left="720" w:hanging="360"/>
        <w:contextualSpacing/>
        <w:jc w:val="both"/>
        <w:rPr>
          <w:rFonts w:cstheme="minorBidi"/>
          <w:color w:val="FF0000"/>
          <w:szCs w:val="24"/>
          <w:lang w:eastAsia="en-US"/>
        </w:rPr>
      </w:pPr>
      <w:r w:rsidRPr="00DE1FC9">
        <w:rPr>
          <w:rFonts w:cstheme="minorBidi"/>
          <w:szCs w:val="24"/>
          <w:lang w:eastAsia="en-US"/>
        </w:rPr>
        <w:t>Konto øvrige personale har været overforbrug på grund af konto har været brugt til timelønnet personale.</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lastRenderedPageBreak/>
        <w:t>Generelt set er der stor difference inden for lønområdet, da månedslønnede der får udbetalt forud og månedslønnede lærere har fået udbetalt tillæg.</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På grund af, at man har indkøbt materialer forud, ligger forbruget under porto på 80 %, derfor skal den ikke bruges resten af året.</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Udgifter i forbindelse med tjenesterejser skal dækkes gennem refusion fra Selvstyret.</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 xml:space="preserve">Merforbruget for rengøring skyldes, at der har været afsat for lidt til aftalen.  </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Der er indkøbt undervisningsmaterialer såsom bærbare computere, som kan benyttes til undervisningen.</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Udgifter til repræsentation ligger på 70,5 %, men kontoen skal ikke bruges resten af året.</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Konto for materiel og inventar ligger på 90,6 %, dette skyldes, at man har udskiftet elevstole og elevborde.</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Merforbruget under varme skyldes, at det er svært at beregne hvor stort forbrug der skal være fra år til år.</w:t>
      </w:r>
    </w:p>
    <w:p w:rsidR="00DE1FC9" w:rsidRPr="00DE1FC9" w:rsidRDefault="00DE1FC9" w:rsidP="00DE1FC9">
      <w:pPr>
        <w:tabs>
          <w:tab w:val="clear" w:pos="284"/>
        </w:tabs>
        <w:spacing w:after="160"/>
        <w:ind w:left="720" w:hanging="360"/>
        <w:contextualSpacing/>
        <w:jc w:val="both"/>
        <w:rPr>
          <w:rFonts w:cstheme="minorBidi"/>
          <w:color w:val="FF0000"/>
          <w:szCs w:val="24"/>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color w:val="FF0000"/>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proofErr w:type="spellStart"/>
      <w:r w:rsidRPr="00DE1FC9">
        <w:rPr>
          <w:rFonts w:eastAsiaTheme="minorHAnsi" w:cstheme="minorBidi"/>
          <w:b/>
          <w:szCs w:val="22"/>
          <w:lang w:eastAsia="en-US"/>
        </w:rPr>
        <w:t>Qinnguata</w:t>
      </w:r>
      <w:proofErr w:type="spellEnd"/>
      <w:r w:rsidRPr="00DE1FC9">
        <w:rPr>
          <w:rFonts w:eastAsiaTheme="minorHAnsi" w:cstheme="minorBidi"/>
          <w:b/>
          <w:szCs w:val="22"/>
          <w:lang w:eastAsia="en-US"/>
        </w:rPr>
        <w:t xml:space="preserve"> Atuarfia</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Lønninger er sat efter at vi har 2 forudlønnede og 9 bagudlønnede. Nu har vi 11 bagudlønnede.</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Der har været mange tjenesterejser ift. med diverse arrangementer og kurser under Qeqqata Kommunia.</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Personale udskiftning: Kæmpe udskiftning i sommers. 2 ud og 4 nyansatte.</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Rengøringsselskabet / Reno: Ny rengøringsaftale til 440.000 om året, så skal justeres.</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Elevrejser: Der mangler stadig refusion af 55.000 for elevrejse under Nordplus-projektet.</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Rengøring: De store materialer er købt med skib over sommeren. Kommer kun få udgifter resten af året.</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Materiel / Inventar: Større forbrug indendørs på materialer, såsom design af lokaler, sofa til SFO og nye skabe og hylder i klasserne. Derimod få udgifter til udvendig vedligehold.</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Husleje m.m.: Husleje er boligbidrag til lærerne. Der er 9 lærere, som modtager boligbidrag, så den skal reguleres.</w:t>
      </w:r>
    </w:p>
    <w:p w:rsidR="00DE1FC9" w:rsidRPr="00DE1FC9" w:rsidRDefault="00DE1FC9" w:rsidP="00DE1FC9">
      <w:pPr>
        <w:tabs>
          <w:tab w:val="clear" w:pos="284"/>
        </w:tabs>
        <w:spacing w:after="160"/>
        <w:ind w:left="720" w:hanging="360"/>
        <w:contextualSpacing/>
        <w:jc w:val="both"/>
        <w:rPr>
          <w:rFonts w:ascii="Helvetica Neue" w:eastAsiaTheme="minorHAnsi" w:hAnsi="Helvetica Neue"/>
          <w:b/>
          <w:szCs w:val="24"/>
        </w:rPr>
      </w:pPr>
    </w:p>
    <w:p w:rsidR="00DE1FC9" w:rsidRPr="00DE1FC9" w:rsidRDefault="00DE1FC9" w:rsidP="00DE1FC9">
      <w:pPr>
        <w:tabs>
          <w:tab w:val="clear" w:pos="284"/>
        </w:tabs>
        <w:spacing w:after="160"/>
        <w:ind w:left="720" w:hanging="360"/>
        <w:contextualSpacing/>
        <w:jc w:val="both"/>
        <w:rPr>
          <w:rFonts w:ascii="Helvetica Neue" w:eastAsiaTheme="minorHAnsi" w:hAnsi="Helvetica Neue"/>
          <w:b/>
          <w:szCs w:val="24"/>
        </w:rPr>
      </w:pPr>
      <w:r w:rsidRPr="00DE1FC9">
        <w:rPr>
          <w:rFonts w:ascii="Helvetica Neue" w:eastAsiaTheme="minorHAnsi" w:hAnsi="Helvetica Neue"/>
          <w:b/>
          <w:szCs w:val="24"/>
        </w:rPr>
        <w:t>MISI</w:t>
      </w:r>
    </w:p>
    <w:p w:rsidR="00DE1FC9" w:rsidRPr="00DE1FC9" w:rsidRDefault="00DE1FC9" w:rsidP="00DE1FC9">
      <w:pPr>
        <w:tabs>
          <w:tab w:val="clear" w:pos="284"/>
        </w:tabs>
        <w:spacing w:after="160"/>
        <w:ind w:left="720" w:hanging="360"/>
        <w:contextualSpacing/>
        <w:jc w:val="both"/>
        <w:rPr>
          <w:rFonts w:ascii="Helvetica Neue" w:eastAsiaTheme="minorHAnsi" w:hAnsi="Helvetica Neue"/>
          <w:szCs w:val="24"/>
        </w:rPr>
      </w:pPr>
    </w:p>
    <w:p w:rsidR="00DE1FC9" w:rsidRPr="00DE1FC9" w:rsidRDefault="00DE1FC9" w:rsidP="00DE1FC9">
      <w:pPr>
        <w:tabs>
          <w:tab w:val="clear" w:pos="284"/>
        </w:tabs>
        <w:spacing w:after="160"/>
        <w:ind w:left="720" w:hanging="360"/>
        <w:contextualSpacing/>
        <w:jc w:val="both"/>
        <w:rPr>
          <w:rFonts w:ascii="Helvetica Neue" w:eastAsiaTheme="minorHAnsi" w:hAnsi="Helvetica Neue"/>
          <w:szCs w:val="24"/>
        </w:rPr>
      </w:pPr>
      <w:r w:rsidRPr="00DE1FC9">
        <w:rPr>
          <w:rFonts w:ascii="Helvetica Neue" w:eastAsiaTheme="minorHAnsi" w:hAnsi="Helvetica Neue"/>
          <w:szCs w:val="24"/>
        </w:rPr>
        <w:t>I MISI konto: Vi fik nye medarbejdere. Vi har bestilt nye materialer til talepædagog og nye udstyr til vore mødelokalet f.eks. Kamera, adapter m.m.</w:t>
      </w:r>
    </w:p>
    <w:p w:rsidR="00DE1FC9" w:rsidRPr="00DE1FC9" w:rsidRDefault="00DE1FC9" w:rsidP="00DE1FC9">
      <w:pPr>
        <w:tabs>
          <w:tab w:val="clear" w:pos="284"/>
        </w:tabs>
        <w:spacing w:after="160"/>
        <w:ind w:left="720" w:hanging="360"/>
        <w:contextualSpacing/>
        <w:jc w:val="both"/>
        <w:rPr>
          <w:rFonts w:eastAsiaTheme="minorHAnsi" w:cstheme="minorBidi"/>
          <w:color w:val="FF0000"/>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p>
    <w:p w:rsidR="00DE1FC9" w:rsidRPr="00DE1FC9" w:rsidRDefault="00DE1FC9" w:rsidP="00DE1FC9">
      <w:pPr>
        <w:tabs>
          <w:tab w:val="clear" w:pos="284"/>
        </w:tabs>
        <w:spacing w:after="160" w:line="259" w:lineRule="auto"/>
        <w:ind w:left="720" w:hanging="360"/>
        <w:contextualSpacing/>
        <w:jc w:val="both"/>
        <w:rPr>
          <w:rFonts w:eastAsiaTheme="minorHAnsi" w:cstheme="minorBidi"/>
          <w:b/>
          <w:szCs w:val="22"/>
          <w:lang w:eastAsia="en-US"/>
        </w:rPr>
      </w:pPr>
      <w:r w:rsidRPr="00DE1FC9">
        <w:rPr>
          <w:rFonts w:eastAsiaTheme="minorHAnsi" w:cstheme="minorBidi"/>
          <w:b/>
          <w:szCs w:val="22"/>
          <w:lang w:eastAsia="en-US"/>
        </w:rPr>
        <w:br w:type="page"/>
      </w:r>
    </w:p>
    <w:p w:rsidR="00DE1FC9" w:rsidRPr="00DE1FC9" w:rsidRDefault="00DE1FC9" w:rsidP="00DE1FC9">
      <w:pPr>
        <w:tabs>
          <w:tab w:val="clear" w:pos="284"/>
        </w:tabs>
        <w:spacing w:after="160" w:line="259" w:lineRule="auto"/>
        <w:ind w:left="720" w:hanging="360"/>
        <w:contextualSpacing/>
        <w:jc w:val="both"/>
        <w:rPr>
          <w:rFonts w:ascii="Helvetica Neue" w:eastAsiaTheme="minorHAnsi" w:hAnsi="Helvetica Neue"/>
          <w:szCs w:val="24"/>
        </w:rPr>
      </w:pPr>
      <w:r w:rsidRPr="00DE1FC9">
        <w:rPr>
          <w:rFonts w:eastAsiaTheme="minorHAnsi" w:cstheme="minorBidi"/>
          <w:b/>
          <w:szCs w:val="22"/>
          <w:lang w:eastAsia="en-US"/>
        </w:rPr>
        <w:lastRenderedPageBreak/>
        <w:t>Konto 53 Fritidsvirksomhed Sisimiut + Bygderne.</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noProof/>
          <w:szCs w:val="22"/>
        </w:rPr>
        <w:drawing>
          <wp:inline distT="0" distB="0" distL="0" distR="0" wp14:anchorId="7C75FF71" wp14:editId="55D59D31">
            <wp:extent cx="6209030" cy="1403498"/>
            <wp:effectExtent l="0" t="0" r="1270" b="635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5539" cy="1416271"/>
                    </a:xfrm>
                    <a:prstGeom prst="rect">
                      <a:avLst/>
                    </a:prstGeom>
                    <a:noFill/>
                    <a:ln>
                      <a:noFill/>
                    </a:ln>
                  </pic:spPr>
                </pic:pic>
              </a:graphicData>
            </a:graphic>
          </wp:inline>
        </w:drawing>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Fritidsvirksomhed: Konto 53 fritidsvirksomhed har et samlet forbrug på 13.922</w:t>
      </w:r>
      <w:r w:rsidRPr="00DE1FC9">
        <w:rPr>
          <w:rFonts w:eastAsiaTheme="minorHAnsi" w:cstheme="minorBidi"/>
          <w:color w:val="FF0000"/>
          <w:szCs w:val="22"/>
          <w:lang w:eastAsia="en-US"/>
        </w:rPr>
        <w:t xml:space="preserve"> </w:t>
      </w:r>
      <w:r w:rsidRPr="00DE1FC9">
        <w:rPr>
          <w:rFonts w:eastAsiaTheme="minorHAnsi" w:cstheme="minorBidi"/>
          <w:szCs w:val="22"/>
          <w:lang w:eastAsia="en-US"/>
        </w:rPr>
        <w:t xml:space="preserve">mio. kr. ud af en bevilling på 15.871 mio. kr. det svare til en forbrug på 86,6%. </w:t>
      </w: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r w:rsidRPr="00DE1FC9">
        <w:rPr>
          <w:rFonts w:eastAsiaTheme="minorHAnsi" w:cstheme="minorBidi"/>
          <w:b/>
          <w:szCs w:val="22"/>
          <w:lang w:eastAsia="en-US"/>
        </w:rPr>
        <w:t>Musikskolen</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 xml:space="preserve">I musikskolen er der merforbrug i kurser, købsanskaffelser af EDB udstyr, rengøring samt bygninger og lokaler. </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Husleje for Ejendomsselskab betales pr. kvartal.</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Kurser koncentreres i udgifter af større enheder end 25 % særligt når det indebærer rejseaktivitet. Antallet af kursusvirksomhed reguleres løbende så det samlede årsbudget overholdes. Ny indkøb af EDB udstyr foretages ofte i starten af året, og der købes sidenhen udelukkende ting af mere supplerende karakter. Rengøring er blevet dyrere pga. flere brugere i lokaler i forskudte plan som kræver mere af rengøringspersonale. I kommende nybyggeri vil der være synergieffekt ved samkøring af rengøring med flere institutioner. Overforbrug på bygninger og lokaler er fortsat betinget af manglende regulering i forhold til faktiske huslejeudgifter.</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proofErr w:type="spellStart"/>
      <w:r w:rsidRPr="00DE1FC9">
        <w:rPr>
          <w:rFonts w:eastAsiaTheme="minorHAnsi" w:cstheme="minorBidi"/>
          <w:b/>
          <w:szCs w:val="22"/>
          <w:lang w:eastAsia="en-US"/>
        </w:rPr>
        <w:t>Qooqa</w:t>
      </w:r>
      <w:proofErr w:type="spellEnd"/>
      <w:r w:rsidRPr="00DE1FC9">
        <w:rPr>
          <w:rFonts w:eastAsiaTheme="minorHAnsi" w:cstheme="minorBidi"/>
          <w:b/>
          <w:szCs w:val="22"/>
          <w:lang w:eastAsia="en-US"/>
        </w:rPr>
        <w:t xml:space="preserve"> Kangerlussuaq</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Samlet set ligger forbruget under de 58,3 %. Overforbrug på konto 5303300111 skyldes omplacering af midler til konto 5303300110. Overforbrug på konto 5303300131 skyldes mangel på arbejdskraft, så der måtte arbejdes over og der forventes yderligere udgifter grundet opsparet overtid. Overforbrug på konto 5303300503 skyldes ikke budgetterede udgifter til nyoprettet stilling. Der forventes yderligere udgifter. Der forventes ikke flere udgifter på konto 5303301299. Overforbrug på konto 5303301599skyldes begrænsninger i varetilførslen, således at de fleste indkøb ligger om sommeren.</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r w:rsidRPr="00DE1FC9">
        <w:rPr>
          <w:rFonts w:eastAsiaTheme="minorHAnsi" w:cstheme="minorBidi"/>
          <w:b/>
          <w:szCs w:val="22"/>
          <w:lang w:eastAsia="en-US"/>
        </w:rPr>
        <w:t xml:space="preserve">Konto 530314 </w:t>
      </w:r>
      <w:proofErr w:type="spellStart"/>
      <w:r w:rsidRPr="00DE1FC9">
        <w:rPr>
          <w:rFonts w:eastAsiaTheme="minorHAnsi" w:cstheme="minorBidi"/>
          <w:b/>
          <w:szCs w:val="22"/>
          <w:lang w:eastAsia="en-US"/>
        </w:rPr>
        <w:t>Sukorsit</w:t>
      </w:r>
      <w:proofErr w:type="spellEnd"/>
      <w:r w:rsidRPr="00DE1FC9">
        <w:rPr>
          <w:rFonts w:eastAsiaTheme="minorHAnsi" w:cstheme="minorBidi"/>
          <w:b/>
          <w:szCs w:val="22"/>
          <w:lang w:eastAsia="en-US"/>
        </w:rPr>
        <w:t xml:space="preserve"> Sisimiut</w:t>
      </w:r>
    </w:p>
    <w:p w:rsidR="00DE1FC9" w:rsidRPr="00DE1FC9" w:rsidRDefault="00DE1FC9" w:rsidP="00DE1FC9">
      <w:pPr>
        <w:tabs>
          <w:tab w:val="clear" w:pos="284"/>
        </w:tabs>
        <w:spacing w:after="160"/>
        <w:ind w:left="720" w:hanging="360"/>
        <w:contextualSpacing/>
        <w:jc w:val="both"/>
        <w:rPr>
          <w:rFonts w:eastAsiaTheme="minorHAnsi" w:cstheme="minorBidi"/>
          <w:b/>
          <w:color w:val="FF0000"/>
          <w:szCs w:val="22"/>
          <w:lang w:eastAsia="en-US"/>
        </w:rPr>
      </w:pPr>
      <w:r w:rsidRPr="00DE1FC9">
        <w:rPr>
          <w:rFonts w:eastAsiaTheme="minorHAnsi" w:cstheme="minorBidi"/>
          <w:szCs w:val="22"/>
          <w:lang w:eastAsia="en-US"/>
        </w:rPr>
        <w:t xml:space="preserve">Samlet set ligger </w:t>
      </w:r>
      <w:proofErr w:type="spellStart"/>
      <w:r w:rsidRPr="00DE1FC9">
        <w:rPr>
          <w:rFonts w:eastAsiaTheme="minorHAnsi" w:cstheme="minorBidi"/>
          <w:szCs w:val="22"/>
          <w:lang w:eastAsia="en-US"/>
        </w:rPr>
        <w:t>Sukorsit</w:t>
      </w:r>
      <w:proofErr w:type="spellEnd"/>
      <w:r w:rsidRPr="00DE1FC9">
        <w:rPr>
          <w:rFonts w:eastAsiaTheme="minorHAnsi" w:cstheme="minorBidi"/>
          <w:szCs w:val="22"/>
          <w:lang w:eastAsia="en-US"/>
        </w:rPr>
        <w:t xml:space="preserve"> totale forbrug på 71,1 % ultimo juli 2019. Merforbruget på konto 5303141001 skyldes at man har anskaffet en ny printer, samt køb af materiale ti brug for resten af året. Vedr. konto 5303141206 har man anskaffet en del musikudstyr som har krævet større transportudgifter, og man regner ikke med at forbruge mere af kontoen for resten af året. Forbruget på konto 5303141501 er køb af div. rengøringsmidler samt toiletpapirer og papirhåndkæder, som er forbeholdt til at bruges til resten af året. For konto 5303142201 har personalet i fællesskab malet samtlige lokaler og, men har endnu ikke malet loft og rør der findes i alle arealer. Disse trænger meget til renovering da de udskiller meget støb af sig. Men grundet manglende ressourcer og midler har man indstillet arbejdet. Vedr. konto 5303142299 har man for at kunne afholde </w:t>
      </w:r>
      <w:proofErr w:type="spellStart"/>
      <w:r w:rsidRPr="00DE1FC9">
        <w:rPr>
          <w:rFonts w:eastAsiaTheme="minorHAnsi" w:cstheme="minorBidi"/>
          <w:szCs w:val="22"/>
          <w:lang w:eastAsia="en-US"/>
        </w:rPr>
        <w:t>dansemik</w:t>
      </w:r>
      <w:proofErr w:type="spellEnd"/>
      <w:r w:rsidRPr="00DE1FC9">
        <w:rPr>
          <w:rFonts w:eastAsiaTheme="minorHAnsi" w:cstheme="minorBidi"/>
          <w:szCs w:val="22"/>
          <w:lang w:eastAsia="en-US"/>
        </w:rPr>
        <w:t xml:space="preserve">, har man renoveret DJ rampen samt der er anskaffet lyddæmpere til musik øvelokalet, som er blevet meget brugt på det seneste. Men behovet for yderligere vedligehold i musikrummet er til stede. </w:t>
      </w:r>
    </w:p>
    <w:p w:rsidR="00DE1FC9" w:rsidRPr="00DE1FC9" w:rsidRDefault="00DE1FC9" w:rsidP="00DE1FC9">
      <w:pPr>
        <w:tabs>
          <w:tab w:val="clear" w:pos="284"/>
        </w:tabs>
        <w:spacing w:after="160" w:line="259" w:lineRule="auto"/>
        <w:ind w:left="720" w:hanging="360"/>
        <w:contextualSpacing/>
        <w:jc w:val="both"/>
        <w:rPr>
          <w:rFonts w:eastAsiaTheme="minorHAnsi" w:cstheme="minorBidi"/>
          <w:b/>
          <w:szCs w:val="22"/>
          <w:lang w:eastAsia="en-US"/>
        </w:rPr>
      </w:pPr>
      <w:r w:rsidRPr="00DE1FC9">
        <w:rPr>
          <w:rFonts w:eastAsiaTheme="minorHAnsi" w:cstheme="minorBidi"/>
          <w:b/>
          <w:szCs w:val="22"/>
          <w:lang w:eastAsia="en-US"/>
        </w:rPr>
        <w:br w:type="page"/>
      </w: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r w:rsidRPr="00DE1FC9">
        <w:rPr>
          <w:rFonts w:eastAsiaTheme="minorHAnsi" w:cstheme="minorBidi"/>
          <w:b/>
          <w:szCs w:val="22"/>
          <w:lang w:eastAsia="en-US"/>
        </w:rPr>
        <w:lastRenderedPageBreak/>
        <w:t>Konto 55 Biblioteksvæsen Sisimiut + Bygderne.</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noProof/>
          <w:szCs w:val="22"/>
        </w:rPr>
        <w:drawing>
          <wp:inline distT="0" distB="0" distL="0" distR="0" wp14:anchorId="7EFC467A" wp14:editId="2F28A2D1">
            <wp:extent cx="6113145" cy="1084521"/>
            <wp:effectExtent l="0" t="0" r="1905" b="190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0017" cy="1092836"/>
                    </a:xfrm>
                    <a:prstGeom prst="rect">
                      <a:avLst/>
                    </a:prstGeom>
                    <a:noFill/>
                    <a:ln>
                      <a:noFill/>
                    </a:ln>
                  </pic:spPr>
                </pic:pic>
              </a:graphicData>
            </a:graphic>
          </wp:inline>
        </w:drawing>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Biblioteksvæsen: konto 55 Biblioteksvæsen har et samlet forbrug på 1.560 t. kr. ud af en bevilling på 2.401 mio. kr. det svare til en forbrug på 65 %</w:t>
      </w: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 xml:space="preserve">Overforbruget på konto 5502101299 Diverse fremmede tjenesteydelser skyldes at der er efter behov har været ekstra vedligeholdelsesudgifter i form af nyt </w:t>
      </w:r>
      <w:proofErr w:type="spellStart"/>
      <w:r w:rsidRPr="00DE1FC9">
        <w:rPr>
          <w:rFonts w:eastAsiaTheme="minorHAnsi" w:cstheme="minorBidi"/>
          <w:szCs w:val="22"/>
          <w:lang w:eastAsia="en-US"/>
        </w:rPr>
        <w:t>Dantek</w:t>
      </w:r>
      <w:proofErr w:type="spellEnd"/>
      <w:r w:rsidRPr="00DE1FC9">
        <w:rPr>
          <w:rFonts w:eastAsiaTheme="minorHAnsi" w:cstheme="minorBidi"/>
          <w:szCs w:val="22"/>
          <w:lang w:eastAsia="en-US"/>
        </w:rPr>
        <w:t xml:space="preserve"> </w:t>
      </w:r>
      <w:proofErr w:type="spellStart"/>
      <w:r w:rsidRPr="00DE1FC9">
        <w:rPr>
          <w:rFonts w:eastAsiaTheme="minorHAnsi" w:cstheme="minorBidi"/>
          <w:szCs w:val="22"/>
          <w:lang w:eastAsia="en-US"/>
        </w:rPr>
        <w:t>Bibliomatik</w:t>
      </w:r>
      <w:proofErr w:type="spellEnd"/>
      <w:r w:rsidRPr="00DE1FC9">
        <w:rPr>
          <w:rFonts w:eastAsiaTheme="minorHAnsi" w:cstheme="minorBidi"/>
          <w:szCs w:val="22"/>
          <w:lang w:eastAsia="en-US"/>
        </w:rPr>
        <w:t xml:space="preserve"> samt elevweb. Midlerne er også brugt til annonceudgifter primært til </w:t>
      </w:r>
      <w:proofErr w:type="spellStart"/>
      <w:r w:rsidRPr="00DE1FC9">
        <w:rPr>
          <w:rFonts w:eastAsiaTheme="minorHAnsi" w:cstheme="minorBidi"/>
          <w:szCs w:val="22"/>
          <w:lang w:eastAsia="en-US"/>
        </w:rPr>
        <w:t>SisOffset</w:t>
      </w:r>
      <w:proofErr w:type="spellEnd"/>
      <w:r w:rsidRPr="00DE1FC9">
        <w:rPr>
          <w:rFonts w:eastAsiaTheme="minorHAnsi" w:cstheme="minorBidi"/>
          <w:szCs w:val="22"/>
          <w:lang w:eastAsia="en-US"/>
        </w:rPr>
        <w:t xml:space="preserve">. </w:t>
      </w: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r w:rsidRPr="00DE1FC9">
        <w:rPr>
          <w:rFonts w:eastAsiaTheme="minorHAnsi" w:cstheme="minorBidi"/>
          <w:b/>
          <w:szCs w:val="22"/>
          <w:lang w:eastAsia="en-US"/>
        </w:rPr>
        <w:t>Konto 56 Museum Sisimiut + Bygderne</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noProof/>
          <w:szCs w:val="22"/>
        </w:rPr>
        <w:drawing>
          <wp:inline distT="0" distB="0" distL="0" distR="0" wp14:anchorId="44FB065D" wp14:editId="6D3000D7">
            <wp:extent cx="6060440" cy="1552353"/>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6350" cy="1558990"/>
                    </a:xfrm>
                    <a:prstGeom prst="rect">
                      <a:avLst/>
                    </a:prstGeom>
                    <a:noFill/>
                    <a:ln>
                      <a:noFill/>
                    </a:ln>
                  </pic:spPr>
                </pic:pic>
              </a:graphicData>
            </a:graphic>
          </wp:inline>
        </w:drawing>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Museum: konto 56 Museum har et samlet forbrug på 1.368 t. kr. ud af en bevilling på 1.918 mio. kr. det svare til en forbrug på 65,4 %.</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r w:rsidRPr="00DE1FC9">
        <w:rPr>
          <w:rFonts w:eastAsiaTheme="minorHAnsi" w:cstheme="minorBidi"/>
          <w:b/>
          <w:szCs w:val="22"/>
          <w:lang w:eastAsia="en-US"/>
        </w:rPr>
        <w:t>Sisimiut og Kangerlussuaq Museum</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Konto 5602100111 er overskredet med 149,4 %, dette skyldes bl.a. at der er omplaceret minus 160.000 kr. fra kontoen.</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Konto 5603100501 Tjenesterejser</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Der er i forbindelse med UNESCO verdensarvsliste over Nipisat/</w:t>
      </w:r>
      <w:proofErr w:type="spellStart"/>
      <w:r w:rsidRPr="00DE1FC9">
        <w:rPr>
          <w:rFonts w:eastAsiaTheme="minorHAnsi" w:cstheme="minorBidi"/>
          <w:szCs w:val="22"/>
          <w:lang w:eastAsia="en-US"/>
        </w:rPr>
        <w:t>Aasivissuit</w:t>
      </w:r>
      <w:proofErr w:type="spellEnd"/>
      <w:r w:rsidRPr="00DE1FC9">
        <w:rPr>
          <w:rFonts w:eastAsiaTheme="minorHAnsi" w:cstheme="minorBidi"/>
          <w:szCs w:val="22"/>
          <w:lang w:eastAsia="en-US"/>
        </w:rPr>
        <w:t xml:space="preserve"> været flere rejseaktiviteter.</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Konto 5602100507 er til køb af tidskrifter samt bøger m.m. og er underbudgetteret, derfor er den over 130 %. Overforbrug i konto 5602101004 skyldes at der er skiftet ud i samtlige telefoner og der er kommet nyt system i butikken. Merforbruget i konto 5602101207 skyldes at der har været kloakarbejde samt vagtselskab har været på ved ekstra alarmer. Overforbruget på konto 5602102299   skyldes at der i flere omgange har været eftersyn og reparation af oliefyr og har derved overskredet med 248 %.</w:t>
      </w:r>
    </w:p>
    <w:p w:rsidR="00DE1FC9" w:rsidRPr="00DE1FC9" w:rsidRDefault="00DE1FC9" w:rsidP="00DE1FC9">
      <w:pPr>
        <w:tabs>
          <w:tab w:val="clear" w:pos="284"/>
        </w:tabs>
        <w:spacing w:after="160" w:line="259" w:lineRule="auto"/>
        <w:ind w:left="720" w:hanging="360"/>
        <w:contextualSpacing/>
        <w:jc w:val="both"/>
        <w:rPr>
          <w:rFonts w:eastAsiaTheme="minorHAnsi" w:cstheme="minorBidi"/>
          <w:b/>
          <w:szCs w:val="22"/>
          <w:lang w:eastAsia="en-US"/>
        </w:rPr>
      </w:pPr>
    </w:p>
    <w:p w:rsidR="00DE1FC9" w:rsidRPr="00DE1FC9" w:rsidRDefault="00DE1FC9" w:rsidP="00DE1FC9">
      <w:pPr>
        <w:tabs>
          <w:tab w:val="clear" w:pos="284"/>
        </w:tabs>
        <w:spacing w:after="160" w:line="259" w:lineRule="auto"/>
        <w:ind w:left="720" w:hanging="360"/>
        <w:contextualSpacing/>
        <w:jc w:val="both"/>
        <w:rPr>
          <w:rFonts w:eastAsiaTheme="minorHAnsi" w:cstheme="minorBidi"/>
          <w:b/>
          <w:szCs w:val="22"/>
          <w:lang w:eastAsia="en-US"/>
        </w:rPr>
      </w:pPr>
    </w:p>
    <w:p w:rsidR="00DE1FC9" w:rsidRPr="00DE1FC9" w:rsidRDefault="00DE1FC9" w:rsidP="00DE1FC9">
      <w:pPr>
        <w:tabs>
          <w:tab w:val="clear" w:pos="284"/>
        </w:tabs>
        <w:spacing w:after="160" w:line="259" w:lineRule="auto"/>
        <w:ind w:left="720" w:hanging="360"/>
        <w:contextualSpacing/>
        <w:jc w:val="both"/>
        <w:rPr>
          <w:rFonts w:eastAsiaTheme="minorHAnsi" w:cstheme="minorBidi"/>
          <w:b/>
          <w:szCs w:val="22"/>
          <w:lang w:eastAsia="en-US"/>
        </w:rPr>
      </w:pPr>
      <w:r w:rsidRPr="00DE1FC9">
        <w:rPr>
          <w:rFonts w:eastAsiaTheme="minorHAnsi" w:cstheme="minorBidi"/>
          <w:b/>
          <w:szCs w:val="22"/>
          <w:lang w:eastAsia="en-US"/>
        </w:rPr>
        <w:br w:type="page"/>
      </w:r>
    </w:p>
    <w:p w:rsidR="00DE1FC9" w:rsidRPr="00DE1FC9" w:rsidRDefault="00DE1FC9" w:rsidP="00DE1FC9">
      <w:pPr>
        <w:tabs>
          <w:tab w:val="clear" w:pos="284"/>
        </w:tabs>
        <w:spacing w:after="160" w:line="259" w:lineRule="auto"/>
        <w:ind w:left="720" w:hanging="360"/>
        <w:contextualSpacing/>
        <w:jc w:val="both"/>
        <w:rPr>
          <w:rFonts w:eastAsiaTheme="minorHAnsi" w:cstheme="minorBidi"/>
          <w:b/>
          <w:szCs w:val="22"/>
          <w:lang w:eastAsia="en-US"/>
        </w:rPr>
      </w:pPr>
      <w:r w:rsidRPr="00DE1FC9">
        <w:rPr>
          <w:rFonts w:eastAsiaTheme="minorHAnsi" w:cstheme="minorBidi"/>
          <w:b/>
          <w:szCs w:val="22"/>
          <w:lang w:eastAsia="en-US"/>
        </w:rPr>
        <w:lastRenderedPageBreak/>
        <w:t>Konto 59 Kultur Sisimiut og Bygderne.</w:t>
      </w: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r w:rsidRPr="00DE1FC9">
        <w:rPr>
          <w:rFonts w:eastAsiaTheme="minorHAnsi" w:cstheme="minorBidi"/>
          <w:noProof/>
          <w:szCs w:val="22"/>
        </w:rPr>
        <w:drawing>
          <wp:inline distT="0" distB="0" distL="0" distR="0" wp14:anchorId="659D16E3" wp14:editId="5683FA20">
            <wp:extent cx="6123940" cy="206248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0630" cy="2071469"/>
                    </a:xfrm>
                    <a:prstGeom prst="rect">
                      <a:avLst/>
                    </a:prstGeom>
                    <a:noFill/>
                    <a:ln>
                      <a:noFill/>
                    </a:ln>
                  </pic:spPr>
                </pic:pic>
              </a:graphicData>
            </a:graphic>
          </wp:inline>
        </w:drawing>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Kultur og oplysning: Konto 59 har et samlet forbrug på 11.684 mio. kr. ud af en bevilling på 14.442 mio. kr. det svare til en forbrug på 82 %</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Konto 5901103500 Kulturtilbud</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 xml:space="preserve">Der har i løbet af det sidste halve år i 2019 været flere kulturelle aktiviteter som er blevet </w:t>
      </w:r>
      <w:proofErr w:type="spellStart"/>
      <w:r w:rsidRPr="00DE1FC9">
        <w:rPr>
          <w:rFonts w:eastAsiaTheme="minorHAnsi" w:cstheme="minorBidi"/>
          <w:szCs w:val="22"/>
          <w:lang w:eastAsia="en-US"/>
        </w:rPr>
        <w:t>financieret</w:t>
      </w:r>
      <w:proofErr w:type="spellEnd"/>
      <w:r w:rsidRPr="00DE1FC9">
        <w:rPr>
          <w:rFonts w:eastAsiaTheme="minorHAnsi" w:cstheme="minorBidi"/>
          <w:szCs w:val="22"/>
          <w:lang w:eastAsia="en-US"/>
        </w:rPr>
        <w:t xml:space="preserve"> fra denne konto, såsom Inuit art Festival, koncert arrangement med Kuno Berthelsen i nationaldagen, </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 xml:space="preserve">Jubilæumskoncert med </w:t>
      </w:r>
      <w:proofErr w:type="spellStart"/>
      <w:r w:rsidRPr="00DE1FC9">
        <w:rPr>
          <w:rFonts w:eastAsiaTheme="minorHAnsi" w:cstheme="minorBidi"/>
          <w:szCs w:val="22"/>
          <w:lang w:eastAsia="en-US"/>
        </w:rPr>
        <w:t>Hinnarik</w:t>
      </w:r>
      <w:proofErr w:type="spellEnd"/>
      <w:r w:rsidRPr="00DE1FC9">
        <w:rPr>
          <w:rFonts w:eastAsiaTheme="minorHAnsi" w:cstheme="minorBidi"/>
          <w:szCs w:val="22"/>
          <w:lang w:eastAsia="en-US"/>
        </w:rPr>
        <w:t xml:space="preserve"> samt koncert i bygderne med Josef L. Josefsen. Man regner ikke med at der vil ske yderigere aktiviteter. </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 xml:space="preserve">Konto 590310 Tilskud til idrætsformål Sisimiut, som tidligere rapporteret skyldes overforbruget på kontoen, at der i de seneste år har idrætsforbund indført mange flere turnering fra børn til unge, som drager afsted i forskellige byer for at deltage i konkurrencer, samt flere og flere bygder er kommet på i div. GM, og derved kommer også ekstra transportudgifter derfra. </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 xml:space="preserve"> </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Idrætsudgifter</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S-68 GM U18 ILULISSAT</w:t>
      </w:r>
      <w:r w:rsidRPr="00DE1FC9">
        <w:rPr>
          <w:rFonts w:eastAsiaTheme="minorHAnsi" w:cstheme="minorBidi"/>
          <w:szCs w:val="22"/>
          <w:lang w:eastAsia="en-US"/>
        </w:rPr>
        <w:tab/>
        <w:t xml:space="preserve">               </w:t>
      </w:r>
      <w:r w:rsidRPr="00DE1FC9">
        <w:rPr>
          <w:rFonts w:eastAsiaTheme="minorHAnsi" w:cstheme="minorBidi"/>
          <w:szCs w:val="22"/>
          <w:lang w:eastAsia="en-US"/>
        </w:rPr>
        <w:tab/>
      </w:r>
      <w:proofErr w:type="gramStart"/>
      <w:r w:rsidRPr="00DE1FC9">
        <w:rPr>
          <w:rFonts w:eastAsiaTheme="minorHAnsi" w:cstheme="minorBidi"/>
          <w:szCs w:val="22"/>
          <w:lang w:eastAsia="en-US"/>
        </w:rPr>
        <w:tab/>
        <w:t xml:space="preserve">  40.000</w:t>
      </w:r>
      <w:proofErr w:type="gramEnd"/>
      <w:r w:rsidRPr="00DE1FC9">
        <w:rPr>
          <w:rFonts w:eastAsiaTheme="minorHAnsi" w:cstheme="minorBidi"/>
          <w:szCs w:val="22"/>
          <w:lang w:eastAsia="en-US"/>
        </w:rPr>
        <w:t>,00</w:t>
      </w:r>
    </w:p>
    <w:p w:rsidR="00DE1FC9" w:rsidRPr="00DE1FC9" w:rsidRDefault="00DE1FC9" w:rsidP="00DE1FC9">
      <w:pPr>
        <w:tabs>
          <w:tab w:val="clear" w:pos="284"/>
        </w:tabs>
        <w:spacing w:after="160"/>
        <w:ind w:left="720" w:hanging="360"/>
        <w:contextualSpacing/>
        <w:jc w:val="both"/>
        <w:rPr>
          <w:rFonts w:eastAsiaTheme="minorHAnsi" w:cstheme="minorBidi"/>
          <w:szCs w:val="22"/>
          <w:lang w:val="en-US" w:eastAsia="en-US"/>
        </w:rPr>
      </w:pPr>
      <w:r w:rsidRPr="00AA07A2">
        <w:rPr>
          <w:rFonts w:eastAsiaTheme="minorHAnsi" w:cstheme="minorBidi"/>
          <w:szCs w:val="22"/>
          <w:lang w:eastAsia="en-US"/>
        </w:rPr>
        <w:t xml:space="preserve">QIMUSSEQ SIS. </w:t>
      </w:r>
      <w:r w:rsidRPr="00DE1FC9">
        <w:rPr>
          <w:rFonts w:eastAsiaTheme="minorHAnsi" w:cstheme="minorBidi"/>
          <w:szCs w:val="22"/>
          <w:lang w:val="en-US" w:eastAsia="en-US"/>
        </w:rPr>
        <w:t>QASIGI.</w:t>
      </w:r>
      <w:r w:rsidRPr="00DE1FC9">
        <w:rPr>
          <w:rFonts w:eastAsiaTheme="minorHAnsi" w:cstheme="minorBidi"/>
          <w:szCs w:val="22"/>
          <w:lang w:val="en-US" w:eastAsia="en-US"/>
        </w:rPr>
        <w:tab/>
      </w:r>
      <w:r w:rsidRPr="00DE1FC9">
        <w:rPr>
          <w:rFonts w:eastAsiaTheme="minorHAnsi" w:cstheme="minorBidi"/>
          <w:szCs w:val="22"/>
          <w:lang w:val="en-US" w:eastAsia="en-US"/>
        </w:rPr>
        <w:tab/>
      </w:r>
      <w:r w:rsidRPr="00DE1FC9">
        <w:rPr>
          <w:rFonts w:eastAsiaTheme="minorHAnsi" w:cstheme="minorBidi"/>
          <w:szCs w:val="22"/>
          <w:lang w:val="en-US" w:eastAsia="en-US"/>
        </w:rPr>
        <w:tab/>
        <w:t xml:space="preserve">  80.000,00</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val="en-US" w:eastAsia="en-US"/>
        </w:rPr>
        <w:t>ARTIC SPORT SIS.GM QAQ.</w:t>
      </w:r>
      <w:r w:rsidRPr="00DE1FC9">
        <w:rPr>
          <w:rFonts w:eastAsiaTheme="minorHAnsi" w:cstheme="minorBidi"/>
          <w:szCs w:val="22"/>
          <w:lang w:val="en-US" w:eastAsia="en-US"/>
        </w:rPr>
        <w:tab/>
      </w:r>
      <w:r w:rsidRPr="00DE1FC9">
        <w:rPr>
          <w:rFonts w:eastAsiaTheme="minorHAnsi" w:cstheme="minorBidi"/>
          <w:szCs w:val="22"/>
          <w:lang w:val="en-US" w:eastAsia="en-US"/>
        </w:rPr>
        <w:tab/>
      </w:r>
      <w:r w:rsidRPr="00DE1FC9">
        <w:rPr>
          <w:rFonts w:eastAsiaTheme="minorHAnsi" w:cstheme="minorBidi"/>
          <w:szCs w:val="22"/>
          <w:lang w:val="en-US" w:eastAsia="en-US"/>
        </w:rPr>
        <w:tab/>
        <w:t xml:space="preserve">  </w:t>
      </w:r>
      <w:r w:rsidRPr="00DE1FC9">
        <w:rPr>
          <w:rFonts w:eastAsiaTheme="minorHAnsi" w:cstheme="minorBidi"/>
          <w:szCs w:val="22"/>
          <w:lang w:eastAsia="en-US"/>
        </w:rPr>
        <w:t>73.786,50</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ATAATSIMOORFIK, INUIT GAMES GM</w:t>
      </w:r>
      <w:r w:rsidRPr="00DE1FC9">
        <w:rPr>
          <w:rFonts w:eastAsiaTheme="minorHAnsi" w:cstheme="minorBidi"/>
          <w:szCs w:val="22"/>
          <w:lang w:eastAsia="en-US"/>
        </w:rPr>
        <w:tab/>
      </w:r>
      <w:r w:rsidRPr="00DE1FC9">
        <w:rPr>
          <w:rFonts w:eastAsiaTheme="minorHAnsi" w:cstheme="minorBidi"/>
          <w:szCs w:val="22"/>
          <w:lang w:eastAsia="en-US"/>
        </w:rPr>
        <w:tab/>
        <w:t>198.705,00</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SKØJTEBANEN DRIFT 2019</w:t>
      </w:r>
      <w:r w:rsidRPr="00DE1FC9">
        <w:rPr>
          <w:rFonts w:eastAsiaTheme="minorHAnsi" w:cstheme="minorBidi"/>
          <w:szCs w:val="22"/>
          <w:lang w:eastAsia="en-US"/>
        </w:rPr>
        <w:tab/>
      </w:r>
      <w:r w:rsidRPr="00DE1FC9">
        <w:rPr>
          <w:rFonts w:eastAsiaTheme="minorHAnsi" w:cstheme="minorBidi"/>
          <w:szCs w:val="22"/>
          <w:lang w:eastAsia="en-US"/>
        </w:rPr>
        <w:tab/>
      </w:r>
      <w:proofErr w:type="gramStart"/>
      <w:r w:rsidRPr="00DE1FC9">
        <w:rPr>
          <w:rFonts w:eastAsiaTheme="minorHAnsi" w:cstheme="minorBidi"/>
          <w:szCs w:val="22"/>
          <w:lang w:eastAsia="en-US"/>
        </w:rPr>
        <w:tab/>
        <w:t xml:space="preserve">  19.000</w:t>
      </w:r>
      <w:proofErr w:type="gramEnd"/>
      <w:r w:rsidRPr="00DE1FC9">
        <w:rPr>
          <w:rFonts w:eastAsiaTheme="minorHAnsi" w:cstheme="minorBidi"/>
          <w:szCs w:val="22"/>
          <w:lang w:eastAsia="en-US"/>
        </w:rPr>
        <w:t>,00</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GM BORDTENNIS MAN. BAT-98</w:t>
      </w:r>
      <w:r w:rsidRPr="00DE1FC9">
        <w:rPr>
          <w:rFonts w:eastAsiaTheme="minorHAnsi" w:cstheme="minorBidi"/>
          <w:szCs w:val="22"/>
          <w:lang w:eastAsia="en-US"/>
        </w:rPr>
        <w:tab/>
      </w:r>
      <w:r w:rsidRPr="00DE1FC9">
        <w:rPr>
          <w:rFonts w:eastAsiaTheme="minorHAnsi" w:cstheme="minorBidi"/>
          <w:szCs w:val="22"/>
          <w:lang w:eastAsia="en-US"/>
        </w:rPr>
        <w:tab/>
      </w:r>
      <w:proofErr w:type="gramStart"/>
      <w:r w:rsidRPr="00DE1FC9">
        <w:rPr>
          <w:rFonts w:eastAsiaTheme="minorHAnsi" w:cstheme="minorBidi"/>
          <w:szCs w:val="22"/>
          <w:lang w:eastAsia="en-US"/>
        </w:rPr>
        <w:tab/>
        <w:t xml:space="preserve">  28.936</w:t>
      </w:r>
      <w:proofErr w:type="gramEnd"/>
      <w:r w:rsidRPr="00DE1FC9">
        <w:rPr>
          <w:rFonts w:eastAsiaTheme="minorHAnsi" w:cstheme="minorBidi"/>
          <w:szCs w:val="22"/>
          <w:lang w:eastAsia="en-US"/>
        </w:rPr>
        <w:t>,00</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 xml:space="preserve">452019 BIG AIR TØSEBAKKEN </w:t>
      </w:r>
      <w:r w:rsidRPr="00DE1FC9">
        <w:rPr>
          <w:rFonts w:eastAsiaTheme="minorHAnsi" w:cstheme="minorBidi"/>
          <w:szCs w:val="22"/>
          <w:lang w:eastAsia="en-US"/>
        </w:rPr>
        <w:tab/>
      </w:r>
      <w:r w:rsidRPr="00DE1FC9">
        <w:rPr>
          <w:rFonts w:eastAsiaTheme="minorHAnsi" w:cstheme="minorBidi"/>
          <w:szCs w:val="22"/>
          <w:lang w:eastAsia="en-US"/>
        </w:rPr>
        <w:tab/>
      </w:r>
      <w:proofErr w:type="gramStart"/>
      <w:r w:rsidRPr="00DE1FC9">
        <w:rPr>
          <w:rFonts w:eastAsiaTheme="minorHAnsi" w:cstheme="minorBidi"/>
          <w:szCs w:val="22"/>
          <w:lang w:eastAsia="en-US"/>
        </w:rPr>
        <w:tab/>
        <w:t xml:space="preserve">  10.750</w:t>
      </w:r>
      <w:proofErr w:type="gramEnd"/>
      <w:r w:rsidRPr="00DE1FC9">
        <w:rPr>
          <w:rFonts w:eastAsiaTheme="minorHAnsi" w:cstheme="minorBidi"/>
          <w:szCs w:val="22"/>
          <w:lang w:eastAsia="en-US"/>
        </w:rPr>
        <w:t>,00</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 xml:space="preserve">GM HÅNDBOLD SAK ILULISSAT 2 hold </w:t>
      </w:r>
      <w:r w:rsidRPr="00DE1FC9">
        <w:rPr>
          <w:rFonts w:eastAsiaTheme="minorHAnsi" w:cstheme="minorBidi"/>
          <w:szCs w:val="22"/>
          <w:lang w:eastAsia="en-US"/>
        </w:rPr>
        <w:tab/>
      </w:r>
      <w:proofErr w:type="gramStart"/>
      <w:r w:rsidRPr="00DE1FC9">
        <w:rPr>
          <w:rFonts w:eastAsiaTheme="minorHAnsi" w:cstheme="minorBidi"/>
          <w:szCs w:val="22"/>
          <w:lang w:eastAsia="en-US"/>
        </w:rPr>
        <w:tab/>
        <w:t xml:space="preserve">  83.000</w:t>
      </w:r>
      <w:proofErr w:type="gramEnd"/>
      <w:r w:rsidRPr="00DE1FC9">
        <w:rPr>
          <w:rFonts w:eastAsiaTheme="minorHAnsi" w:cstheme="minorBidi"/>
          <w:szCs w:val="22"/>
          <w:lang w:eastAsia="en-US"/>
        </w:rPr>
        <w:t>,00</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SSP ARPATTARTUT DRIFTTILSKUD</w:t>
      </w:r>
      <w:r w:rsidRPr="00DE1FC9">
        <w:rPr>
          <w:rFonts w:eastAsiaTheme="minorHAnsi" w:cstheme="minorBidi"/>
          <w:szCs w:val="22"/>
          <w:lang w:eastAsia="en-US"/>
        </w:rPr>
        <w:tab/>
      </w:r>
      <w:proofErr w:type="gramStart"/>
      <w:r w:rsidRPr="00DE1FC9">
        <w:rPr>
          <w:rFonts w:eastAsiaTheme="minorHAnsi" w:cstheme="minorBidi"/>
          <w:szCs w:val="22"/>
          <w:lang w:eastAsia="en-US"/>
        </w:rPr>
        <w:tab/>
        <w:t xml:space="preserve">  65.161</w:t>
      </w:r>
      <w:proofErr w:type="gramEnd"/>
      <w:r w:rsidRPr="00DE1FC9">
        <w:rPr>
          <w:rFonts w:eastAsiaTheme="minorHAnsi" w:cstheme="minorBidi"/>
          <w:szCs w:val="22"/>
          <w:lang w:eastAsia="en-US"/>
        </w:rPr>
        <w:t>,00</w:t>
      </w:r>
    </w:p>
    <w:p w:rsidR="00DE1FC9" w:rsidRPr="00DE1FC9" w:rsidRDefault="000E057F" w:rsidP="00DE1FC9">
      <w:pPr>
        <w:tabs>
          <w:tab w:val="clear" w:pos="284"/>
        </w:tabs>
        <w:spacing w:after="160"/>
        <w:ind w:left="720" w:hanging="360"/>
        <w:contextualSpacing/>
        <w:jc w:val="both"/>
        <w:rPr>
          <w:rFonts w:eastAsiaTheme="minorHAnsi" w:cstheme="minorBidi"/>
          <w:szCs w:val="22"/>
          <w:lang w:eastAsia="en-US"/>
        </w:rPr>
      </w:pPr>
      <w:r>
        <w:rPr>
          <w:rFonts w:eastAsiaTheme="minorHAnsi" w:cstheme="minorBidi"/>
          <w:szCs w:val="22"/>
          <w:lang w:eastAsia="en-US"/>
        </w:rPr>
        <w:t xml:space="preserve">QIMUSSEQ SISIMIUT GM </w:t>
      </w:r>
      <w:proofErr w:type="spellStart"/>
      <w:r>
        <w:rPr>
          <w:rFonts w:eastAsiaTheme="minorHAnsi" w:cstheme="minorBidi"/>
          <w:szCs w:val="22"/>
          <w:lang w:eastAsia="en-US"/>
        </w:rPr>
        <w:t>meeqqat</w:t>
      </w:r>
      <w:proofErr w:type="spellEnd"/>
      <w:r>
        <w:rPr>
          <w:rFonts w:eastAsiaTheme="minorHAnsi" w:cstheme="minorBidi"/>
          <w:szCs w:val="22"/>
          <w:lang w:eastAsia="en-US"/>
        </w:rPr>
        <w:tab/>
      </w:r>
      <w:proofErr w:type="gramStart"/>
      <w:r>
        <w:rPr>
          <w:rFonts w:eastAsiaTheme="minorHAnsi" w:cstheme="minorBidi"/>
          <w:szCs w:val="22"/>
          <w:lang w:eastAsia="en-US"/>
        </w:rPr>
        <w:tab/>
      </w:r>
      <w:r w:rsidR="00DE1FC9" w:rsidRPr="00DE1FC9">
        <w:rPr>
          <w:rFonts w:eastAsiaTheme="minorHAnsi" w:cstheme="minorBidi"/>
          <w:szCs w:val="22"/>
          <w:lang w:eastAsia="en-US"/>
        </w:rPr>
        <w:t xml:space="preserve">  11.740</w:t>
      </w:r>
      <w:proofErr w:type="gramEnd"/>
      <w:r w:rsidR="00DE1FC9" w:rsidRPr="00DE1FC9">
        <w:rPr>
          <w:rFonts w:eastAsiaTheme="minorHAnsi" w:cstheme="minorBidi"/>
          <w:szCs w:val="22"/>
          <w:lang w:eastAsia="en-US"/>
        </w:rPr>
        <w:t>,00</w:t>
      </w:r>
    </w:p>
    <w:p w:rsidR="00DE1FC9" w:rsidRPr="00DE1FC9" w:rsidRDefault="000E057F" w:rsidP="00DE1FC9">
      <w:pPr>
        <w:tabs>
          <w:tab w:val="clear" w:pos="284"/>
        </w:tabs>
        <w:spacing w:after="160"/>
        <w:ind w:left="720" w:hanging="360"/>
        <w:contextualSpacing/>
        <w:jc w:val="both"/>
        <w:rPr>
          <w:rFonts w:eastAsiaTheme="minorHAnsi" w:cstheme="minorBidi"/>
          <w:szCs w:val="22"/>
          <w:lang w:eastAsia="en-US"/>
        </w:rPr>
      </w:pPr>
      <w:r>
        <w:rPr>
          <w:rFonts w:eastAsiaTheme="minorHAnsi" w:cstheme="minorBidi"/>
          <w:szCs w:val="22"/>
          <w:lang w:eastAsia="en-US"/>
        </w:rPr>
        <w:t>90028 Transport bygder</w:t>
      </w:r>
      <w:r>
        <w:rPr>
          <w:rFonts w:eastAsiaTheme="minorHAnsi" w:cstheme="minorBidi"/>
          <w:szCs w:val="22"/>
          <w:lang w:eastAsia="en-US"/>
        </w:rPr>
        <w:tab/>
      </w:r>
      <w:r>
        <w:rPr>
          <w:rFonts w:eastAsiaTheme="minorHAnsi" w:cstheme="minorBidi"/>
          <w:szCs w:val="22"/>
          <w:lang w:eastAsia="en-US"/>
        </w:rPr>
        <w:tab/>
      </w:r>
      <w:proofErr w:type="gramStart"/>
      <w:r w:rsidR="00DE1FC9" w:rsidRPr="00DE1FC9">
        <w:rPr>
          <w:rFonts w:eastAsiaTheme="minorHAnsi" w:cstheme="minorBidi"/>
          <w:szCs w:val="22"/>
          <w:lang w:eastAsia="en-US"/>
        </w:rPr>
        <w:tab/>
        <w:t xml:space="preserve">  20.025</w:t>
      </w:r>
      <w:proofErr w:type="gramEnd"/>
      <w:r w:rsidR="00DE1FC9" w:rsidRPr="00DE1FC9">
        <w:rPr>
          <w:rFonts w:eastAsiaTheme="minorHAnsi" w:cstheme="minorBidi"/>
          <w:szCs w:val="22"/>
          <w:lang w:eastAsia="en-US"/>
        </w:rPr>
        <w:t>,00</w:t>
      </w:r>
    </w:p>
    <w:p w:rsidR="00DE1FC9" w:rsidRPr="00DE1FC9" w:rsidRDefault="000E057F" w:rsidP="00DE1FC9">
      <w:pPr>
        <w:tabs>
          <w:tab w:val="clear" w:pos="284"/>
        </w:tabs>
        <w:spacing w:after="160"/>
        <w:ind w:left="720" w:hanging="360"/>
        <w:contextualSpacing/>
        <w:jc w:val="both"/>
        <w:rPr>
          <w:rFonts w:eastAsiaTheme="minorHAnsi" w:cstheme="minorBidi"/>
          <w:szCs w:val="22"/>
          <w:lang w:eastAsia="en-US"/>
        </w:rPr>
      </w:pPr>
      <w:r>
        <w:rPr>
          <w:rFonts w:eastAsiaTheme="minorHAnsi" w:cstheme="minorBidi"/>
          <w:szCs w:val="22"/>
          <w:lang w:eastAsia="en-US"/>
        </w:rPr>
        <w:t>90029 Transport bygder</w:t>
      </w:r>
      <w:r>
        <w:rPr>
          <w:rFonts w:eastAsiaTheme="minorHAnsi" w:cstheme="minorBidi"/>
          <w:szCs w:val="22"/>
          <w:lang w:eastAsia="en-US"/>
        </w:rPr>
        <w:tab/>
      </w:r>
      <w:r w:rsidR="00DE1FC9" w:rsidRPr="00DE1FC9">
        <w:rPr>
          <w:rFonts w:eastAsiaTheme="minorHAnsi" w:cstheme="minorBidi"/>
          <w:szCs w:val="22"/>
          <w:lang w:eastAsia="en-US"/>
        </w:rPr>
        <w:tab/>
      </w:r>
      <w:r w:rsidR="00DE1FC9" w:rsidRPr="00DE1FC9">
        <w:rPr>
          <w:rFonts w:eastAsiaTheme="minorHAnsi" w:cstheme="minorBidi"/>
          <w:szCs w:val="22"/>
          <w:lang w:eastAsia="en-US"/>
        </w:rPr>
        <w:tab/>
        <w:t xml:space="preserve">    5.025,00</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47 ETABLERINGER AF TRÆNINGSBANER TIL SKI</w:t>
      </w:r>
      <w:proofErr w:type="gramStart"/>
      <w:r w:rsidRPr="00DE1FC9">
        <w:rPr>
          <w:rFonts w:eastAsiaTheme="minorHAnsi" w:cstheme="minorBidi"/>
          <w:szCs w:val="22"/>
          <w:lang w:eastAsia="en-US"/>
        </w:rPr>
        <w:tab/>
        <w:t xml:space="preserve">  47.300</w:t>
      </w:r>
      <w:proofErr w:type="gramEnd"/>
      <w:r w:rsidRPr="00DE1FC9">
        <w:rPr>
          <w:rFonts w:eastAsiaTheme="minorHAnsi" w:cstheme="minorBidi"/>
          <w:szCs w:val="22"/>
          <w:lang w:eastAsia="en-US"/>
        </w:rPr>
        <w:t>,00</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12778251 TRANSPORT TRØJER TIL ÅRETS IDRÆ</w:t>
      </w:r>
      <w:r w:rsidRPr="00DE1FC9">
        <w:rPr>
          <w:rFonts w:eastAsiaTheme="minorHAnsi" w:cstheme="minorBidi"/>
          <w:szCs w:val="22"/>
          <w:lang w:eastAsia="en-US"/>
        </w:rPr>
        <w:tab/>
        <w:t xml:space="preserve">    1.547,00</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INUIT GAMES GM SA</w:t>
      </w:r>
      <w:r w:rsidR="000E057F">
        <w:rPr>
          <w:rFonts w:eastAsiaTheme="minorHAnsi" w:cstheme="minorBidi"/>
          <w:szCs w:val="22"/>
          <w:lang w:eastAsia="en-US"/>
        </w:rPr>
        <w:t xml:space="preserve">RF.ITIL. overnatning </w:t>
      </w:r>
      <w:proofErr w:type="spellStart"/>
      <w:r w:rsidR="000E057F">
        <w:rPr>
          <w:rFonts w:eastAsiaTheme="minorHAnsi" w:cstheme="minorBidi"/>
          <w:szCs w:val="22"/>
          <w:lang w:eastAsia="en-US"/>
        </w:rPr>
        <w:t>Kunuk</w:t>
      </w:r>
      <w:proofErr w:type="spellEnd"/>
      <w:r w:rsidR="000E057F">
        <w:rPr>
          <w:rFonts w:eastAsiaTheme="minorHAnsi" w:cstheme="minorBidi"/>
          <w:szCs w:val="22"/>
          <w:lang w:eastAsia="en-US"/>
        </w:rPr>
        <w:t xml:space="preserve">                     </w:t>
      </w:r>
      <w:r w:rsidRPr="00DE1FC9">
        <w:rPr>
          <w:rFonts w:eastAsiaTheme="minorHAnsi" w:cstheme="minorBidi"/>
          <w:szCs w:val="22"/>
          <w:lang w:eastAsia="en-US"/>
        </w:rPr>
        <w:t>3.500,00</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GM FUTSAL U15 NUUK SAK</w:t>
      </w:r>
      <w:r w:rsidRPr="00DE1FC9">
        <w:rPr>
          <w:rFonts w:eastAsiaTheme="minorHAnsi" w:cstheme="minorBidi"/>
          <w:szCs w:val="22"/>
          <w:lang w:eastAsia="en-US"/>
        </w:rPr>
        <w:tab/>
      </w:r>
      <w:r w:rsidRPr="00DE1FC9">
        <w:rPr>
          <w:rFonts w:eastAsiaTheme="minorHAnsi" w:cstheme="minorBidi"/>
          <w:szCs w:val="22"/>
          <w:lang w:eastAsia="en-US"/>
        </w:rPr>
        <w:tab/>
      </w:r>
      <w:proofErr w:type="gramStart"/>
      <w:r w:rsidRPr="00DE1FC9">
        <w:rPr>
          <w:rFonts w:eastAsiaTheme="minorHAnsi" w:cstheme="minorBidi"/>
          <w:szCs w:val="22"/>
          <w:lang w:eastAsia="en-US"/>
        </w:rPr>
        <w:tab/>
        <w:t xml:space="preserve">  30.745</w:t>
      </w:r>
      <w:proofErr w:type="gramEnd"/>
      <w:r w:rsidRPr="00DE1FC9">
        <w:rPr>
          <w:rFonts w:eastAsiaTheme="minorHAnsi" w:cstheme="minorBidi"/>
          <w:szCs w:val="22"/>
          <w:lang w:eastAsia="en-US"/>
        </w:rPr>
        <w:t>,00</w:t>
      </w:r>
    </w:p>
    <w:p w:rsidR="00DE1FC9" w:rsidRPr="00DE1FC9" w:rsidRDefault="00DE1FC9" w:rsidP="00DE1FC9">
      <w:pPr>
        <w:tabs>
          <w:tab w:val="clear" w:pos="284"/>
        </w:tabs>
        <w:spacing w:after="160" w:line="259" w:lineRule="auto"/>
        <w:ind w:left="720" w:hanging="360"/>
        <w:contextualSpacing/>
        <w:jc w:val="both"/>
        <w:rPr>
          <w:rFonts w:eastAsiaTheme="minorHAnsi" w:cstheme="minorBidi"/>
          <w:b/>
          <w:szCs w:val="22"/>
          <w:lang w:eastAsia="en-US"/>
        </w:rPr>
      </w:pPr>
    </w:p>
    <w:p w:rsidR="00DE1FC9" w:rsidRPr="00DE1FC9" w:rsidRDefault="00DE1FC9" w:rsidP="00DE1FC9">
      <w:pPr>
        <w:tabs>
          <w:tab w:val="clear" w:pos="284"/>
        </w:tabs>
        <w:spacing w:after="160" w:line="259" w:lineRule="auto"/>
        <w:ind w:left="720" w:hanging="360"/>
        <w:contextualSpacing/>
        <w:jc w:val="both"/>
        <w:rPr>
          <w:rFonts w:eastAsiaTheme="minorHAnsi" w:cstheme="minorBidi"/>
          <w:b/>
          <w:szCs w:val="22"/>
          <w:lang w:eastAsia="en-US"/>
        </w:rPr>
      </w:pPr>
      <w:r w:rsidRPr="00DE1FC9">
        <w:rPr>
          <w:rFonts w:eastAsiaTheme="minorHAnsi" w:cstheme="minorBidi"/>
          <w:b/>
          <w:szCs w:val="22"/>
          <w:lang w:eastAsia="en-US"/>
        </w:rPr>
        <w:br w:type="page"/>
      </w: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r w:rsidRPr="00DE1FC9">
        <w:rPr>
          <w:rFonts w:eastAsiaTheme="minorHAnsi" w:cstheme="minorBidi"/>
          <w:b/>
          <w:szCs w:val="22"/>
          <w:lang w:eastAsia="en-US"/>
        </w:rPr>
        <w:lastRenderedPageBreak/>
        <w:t>Indstilling:</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r w:rsidRPr="00DE1FC9">
        <w:rPr>
          <w:rFonts w:eastAsiaTheme="minorHAnsi" w:cstheme="minorBidi"/>
          <w:szCs w:val="22"/>
          <w:lang w:eastAsia="en-US"/>
        </w:rPr>
        <w:t>Det indstilles til Udvalg for Uddannelse om at tage økonomirapporten for 3. kvartal 2019 til efterretning.</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p>
    <w:p w:rsidR="00DE1FC9" w:rsidRDefault="00DE1FC9" w:rsidP="00DE1FC9">
      <w:pPr>
        <w:tabs>
          <w:tab w:val="clear" w:pos="284"/>
        </w:tabs>
        <w:spacing w:after="160"/>
        <w:ind w:left="720" w:hanging="360"/>
        <w:contextualSpacing/>
        <w:jc w:val="both"/>
        <w:rPr>
          <w:rFonts w:eastAsiaTheme="minorHAnsi" w:cstheme="minorBidi"/>
          <w:b/>
          <w:szCs w:val="22"/>
          <w:lang w:eastAsia="en-US"/>
        </w:rPr>
      </w:pPr>
      <w:r w:rsidRPr="00DE1FC9">
        <w:rPr>
          <w:rFonts w:eastAsiaTheme="minorHAnsi" w:cstheme="minorBidi"/>
          <w:b/>
          <w:szCs w:val="22"/>
          <w:lang w:eastAsia="en-US"/>
        </w:rPr>
        <w:t>Afgørelse:</w:t>
      </w:r>
    </w:p>
    <w:p w:rsidR="00DE1FC9" w:rsidRDefault="00DE1FC9" w:rsidP="00DE1FC9">
      <w:pPr>
        <w:tabs>
          <w:tab w:val="clear" w:pos="284"/>
        </w:tabs>
        <w:spacing w:after="160"/>
        <w:ind w:left="720" w:hanging="360"/>
        <w:contextualSpacing/>
        <w:jc w:val="both"/>
        <w:rPr>
          <w:rFonts w:eastAsiaTheme="minorHAnsi" w:cstheme="minorBidi"/>
          <w:b/>
          <w:szCs w:val="22"/>
          <w:lang w:eastAsia="en-US"/>
        </w:rPr>
      </w:pPr>
    </w:p>
    <w:p w:rsidR="00DE1FC9" w:rsidRPr="00AA07A2" w:rsidRDefault="00AA07A2" w:rsidP="00AA07A2">
      <w:pPr>
        <w:tabs>
          <w:tab w:val="clear" w:pos="284"/>
        </w:tabs>
        <w:spacing w:after="160"/>
        <w:contextualSpacing/>
        <w:jc w:val="both"/>
        <w:rPr>
          <w:rFonts w:eastAsiaTheme="minorHAnsi" w:cstheme="minorBidi"/>
          <w:b/>
          <w:szCs w:val="24"/>
          <w:lang w:eastAsia="en-US"/>
        </w:rPr>
      </w:pPr>
      <w:r w:rsidRPr="00AA07A2">
        <w:rPr>
          <w:rFonts w:ascii="Arial" w:hAnsi="Arial" w:cs="Arial"/>
          <w:szCs w:val="24"/>
        </w:rPr>
        <w:t>Taget til efterretning</w:t>
      </w: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p>
    <w:p w:rsidR="00DE1FC9" w:rsidRPr="00DE1FC9" w:rsidRDefault="00DE1FC9" w:rsidP="00DE1FC9">
      <w:pPr>
        <w:tabs>
          <w:tab w:val="clear" w:pos="284"/>
        </w:tabs>
        <w:spacing w:after="160"/>
        <w:ind w:left="720" w:hanging="360"/>
        <w:contextualSpacing/>
        <w:jc w:val="both"/>
        <w:rPr>
          <w:rFonts w:eastAsiaTheme="minorHAnsi" w:cstheme="minorBidi"/>
          <w:b/>
          <w:szCs w:val="22"/>
          <w:lang w:eastAsia="en-US"/>
        </w:rPr>
      </w:pPr>
      <w:r w:rsidRPr="00DE1FC9">
        <w:rPr>
          <w:rFonts w:eastAsiaTheme="minorHAnsi" w:cstheme="minorBidi"/>
          <w:b/>
          <w:szCs w:val="22"/>
          <w:lang w:eastAsia="en-US"/>
        </w:rPr>
        <w:t>Bilag</w:t>
      </w:r>
    </w:p>
    <w:p w:rsidR="00DE1FC9" w:rsidRPr="00DE1FC9" w:rsidRDefault="00DE1FC9" w:rsidP="00DE1FC9">
      <w:pPr>
        <w:numPr>
          <w:ilvl w:val="0"/>
          <w:numId w:val="4"/>
        </w:numPr>
        <w:tabs>
          <w:tab w:val="clear" w:pos="284"/>
        </w:tabs>
        <w:spacing w:after="160"/>
        <w:ind w:left="0"/>
        <w:contextualSpacing/>
        <w:jc w:val="both"/>
        <w:rPr>
          <w:rFonts w:eastAsiaTheme="minorHAnsi" w:cstheme="minorBidi"/>
          <w:b/>
          <w:szCs w:val="22"/>
          <w:lang w:eastAsia="en-US"/>
        </w:rPr>
      </w:pPr>
      <w:r w:rsidRPr="00DE1FC9">
        <w:rPr>
          <w:rFonts w:eastAsiaTheme="minorHAnsi" w:cstheme="minorBidi"/>
          <w:szCs w:val="22"/>
          <w:lang w:eastAsia="en-US"/>
        </w:rPr>
        <w:t xml:space="preserve">balance konto 3 ultimo </w:t>
      </w:r>
      <w:proofErr w:type="gramStart"/>
      <w:r w:rsidRPr="00DE1FC9">
        <w:rPr>
          <w:rFonts w:eastAsiaTheme="minorHAnsi" w:cstheme="minorBidi"/>
          <w:szCs w:val="22"/>
          <w:lang w:eastAsia="en-US"/>
        </w:rPr>
        <w:t>September</w:t>
      </w:r>
      <w:proofErr w:type="gramEnd"/>
      <w:r w:rsidRPr="00DE1FC9">
        <w:rPr>
          <w:rFonts w:eastAsiaTheme="minorHAnsi" w:cstheme="minorBidi"/>
          <w:szCs w:val="22"/>
          <w:lang w:eastAsia="en-US"/>
        </w:rPr>
        <w:t xml:space="preserve"> 2019</w:t>
      </w:r>
    </w:p>
    <w:p w:rsidR="00DE1FC9" w:rsidRPr="00DE1FC9" w:rsidRDefault="00DE1FC9" w:rsidP="00DE1FC9">
      <w:pPr>
        <w:numPr>
          <w:ilvl w:val="0"/>
          <w:numId w:val="4"/>
        </w:numPr>
        <w:tabs>
          <w:tab w:val="clear" w:pos="284"/>
        </w:tabs>
        <w:spacing w:after="160"/>
        <w:ind w:left="0"/>
        <w:contextualSpacing/>
        <w:jc w:val="both"/>
        <w:rPr>
          <w:rFonts w:eastAsiaTheme="minorHAnsi" w:cstheme="minorBidi"/>
          <w:b/>
          <w:szCs w:val="22"/>
          <w:lang w:eastAsia="en-US"/>
        </w:rPr>
      </w:pPr>
      <w:r w:rsidRPr="00DE1FC9">
        <w:rPr>
          <w:rFonts w:eastAsiaTheme="minorHAnsi" w:cstheme="minorBidi"/>
          <w:szCs w:val="22"/>
          <w:lang w:eastAsia="en-US"/>
        </w:rPr>
        <w:t xml:space="preserve">balance konto 5 ultimo </w:t>
      </w:r>
      <w:proofErr w:type="gramStart"/>
      <w:r w:rsidRPr="00DE1FC9">
        <w:rPr>
          <w:rFonts w:eastAsiaTheme="minorHAnsi" w:cstheme="minorBidi"/>
          <w:szCs w:val="22"/>
          <w:lang w:eastAsia="en-US"/>
        </w:rPr>
        <w:t>September</w:t>
      </w:r>
      <w:proofErr w:type="gramEnd"/>
      <w:r w:rsidRPr="00DE1FC9">
        <w:rPr>
          <w:rFonts w:eastAsiaTheme="minorHAnsi" w:cstheme="minorBidi"/>
          <w:szCs w:val="22"/>
          <w:lang w:eastAsia="en-US"/>
        </w:rPr>
        <w:t xml:space="preserve"> 2019</w:t>
      </w:r>
    </w:p>
    <w:p w:rsidR="00DE1FC9" w:rsidRPr="00DE1FC9" w:rsidRDefault="00DE1FC9" w:rsidP="00DE1FC9">
      <w:pPr>
        <w:tabs>
          <w:tab w:val="clear" w:pos="284"/>
        </w:tabs>
        <w:spacing w:after="160"/>
        <w:ind w:left="720" w:hanging="360"/>
        <w:contextualSpacing/>
        <w:jc w:val="both"/>
        <w:rPr>
          <w:rFonts w:eastAsiaTheme="minorHAnsi" w:cstheme="minorBidi"/>
          <w:szCs w:val="22"/>
          <w:lang w:eastAsia="en-US"/>
        </w:rPr>
      </w:pPr>
    </w:p>
    <w:p w:rsidR="008B2B2F" w:rsidRDefault="008B2B2F">
      <w:pPr>
        <w:tabs>
          <w:tab w:val="clear" w:pos="284"/>
        </w:tabs>
        <w:spacing w:after="160" w:line="259" w:lineRule="auto"/>
        <w:rPr>
          <w:b/>
          <w:sz w:val="28"/>
          <w:szCs w:val="28"/>
          <w:u w:val="single"/>
        </w:rPr>
      </w:pPr>
    </w:p>
    <w:p w:rsidR="007F1447" w:rsidRDefault="007F1447">
      <w:pPr>
        <w:tabs>
          <w:tab w:val="clear" w:pos="284"/>
        </w:tabs>
        <w:spacing w:after="160" w:line="259" w:lineRule="auto"/>
        <w:rPr>
          <w:b/>
        </w:rPr>
      </w:pPr>
      <w:r>
        <w:rPr>
          <w:b/>
        </w:rPr>
        <w:br w:type="page"/>
      </w:r>
    </w:p>
    <w:p w:rsidR="007F1447" w:rsidRPr="00490CE0" w:rsidRDefault="007F1447" w:rsidP="007F1447">
      <w:pPr>
        <w:tabs>
          <w:tab w:val="clear" w:pos="284"/>
          <w:tab w:val="left" w:pos="-3544"/>
        </w:tabs>
        <w:spacing w:after="240"/>
        <w:ind w:left="1134" w:hanging="1134"/>
        <w:rPr>
          <w:b/>
          <w:lang w:val="kl-GL"/>
        </w:rPr>
      </w:pPr>
      <w:r>
        <w:rPr>
          <w:b/>
        </w:rPr>
        <w:lastRenderedPageBreak/>
        <w:t>Punkt 03</w:t>
      </w:r>
      <w:r>
        <w:rPr>
          <w:b/>
        </w:rPr>
        <w:tab/>
        <w:t xml:space="preserve">Økonomirapport vedr. Området for Uddannelse og </w:t>
      </w:r>
      <w:proofErr w:type="spellStart"/>
      <w:r>
        <w:rPr>
          <w:b/>
        </w:rPr>
        <w:t>Majoriaq</w:t>
      </w:r>
      <w:proofErr w:type="spellEnd"/>
      <w:r>
        <w:rPr>
          <w:b/>
        </w:rPr>
        <w:t xml:space="preserve"> i Maniitsoq, 3. kvartal i 2019. </w:t>
      </w:r>
    </w:p>
    <w:p w:rsidR="007F1447" w:rsidRPr="00490CE0" w:rsidRDefault="007F1447" w:rsidP="007F1447">
      <w:pPr>
        <w:keepNext/>
        <w:tabs>
          <w:tab w:val="clear" w:pos="284"/>
        </w:tabs>
        <w:spacing w:after="240"/>
        <w:jc w:val="both"/>
        <w:outlineLvl w:val="1"/>
        <w:rPr>
          <w:i/>
          <w:lang w:val="kl-GL"/>
        </w:rPr>
      </w:pPr>
      <w:proofErr w:type="spellStart"/>
      <w:r>
        <w:rPr>
          <w:i/>
        </w:rPr>
        <w:t>Journalnr</w:t>
      </w:r>
      <w:proofErr w:type="spellEnd"/>
      <w:r>
        <w:rPr>
          <w:i/>
        </w:rPr>
        <w:t>. 06.01.02</w:t>
      </w:r>
    </w:p>
    <w:p w:rsidR="007F1447" w:rsidRPr="00490CE0" w:rsidRDefault="007F1447" w:rsidP="007F1447">
      <w:pPr>
        <w:keepNext/>
        <w:tabs>
          <w:tab w:val="clear" w:pos="284"/>
        </w:tabs>
        <w:outlineLvl w:val="2"/>
        <w:rPr>
          <w:b/>
          <w:lang w:val="kl-GL"/>
        </w:rPr>
      </w:pPr>
      <w:r>
        <w:rPr>
          <w:b/>
        </w:rPr>
        <w:t>Baggrund</w:t>
      </w:r>
    </w:p>
    <w:p w:rsidR="007F1447" w:rsidRPr="00490CE0" w:rsidRDefault="007F1447" w:rsidP="007F1447">
      <w:pPr>
        <w:tabs>
          <w:tab w:val="clear" w:pos="284"/>
        </w:tabs>
        <w:rPr>
          <w:lang w:val="kl-GL"/>
        </w:rPr>
      </w:pPr>
      <w:r>
        <w:t xml:space="preserve">Området for Uddannelse i Maniitsoq fremlægger hermed budgetopfølgning for 3. kvartal i 2019. </w:t>
      </w:r>
    </w:p>
    <w:p w:rsidR="007F1447" w:rsidRPr="00490CE0" w:rsidRDefault="007F1447" w:rsidP="007F1447">
      <w:pPr>
        <w:tabs>
          <w:tab w:val="clear" w:pos="284"/>
        </w:tabs>
        <w:rPr>
          <w:lang w:val="kl-GL"/>
        </w:rPr>
      </w:pPr>
    </w:p>
    <w:p w:rsidR="007F1447" w:rsidRPr="00490CE0" w:rsidRDefault="007F1447" w:rsidP="007F1447">
      <w:pPr>
        <w:tabs>
          <w:tab w:val="clear" w:pos="284"/>
        </w:tabs>
        <w:rPr>
          <w:b/>
          <w:bCs/>
          <w:lang w:val="kl-GL"/>
        </w:rPr>
      </w:pPr>
      <w:r>
        <w:rPr>
          <w:b/>
          <w:bCs/>
        </w:rPr>
        <w:t>Regelgrundlag</w:t>
      </w:r>
    </w:p>
    <w:p w:rsidR="007F1447" w:rsidRPr="00490CE0" w:rsidRDefault="007F1447" w:rsidP="007F1447">
      <w:pPr>
        <w:tabs>
          <w:tab w:val="clear" w:pos="284"/>
        </w:tabs>
        <w:rPr>
          <w:lang w:val="kl-GL"/>
        </w:rPr>
      </w:pPr>
      <w:r>
        <w:t>Kasse- og Regnskabsregulativ for Qeqqata Kommunia.</w:t>
      </w:r>
    </w:p>
    <w:p w:rsidR="007F1447" w:rsidRPr="00490CE0" w:rsidRDefault="007F1447" w:rsidP="007F1447">
      <w:pPr>
        <w:tabs>
          <w:tab w:val="clear" w:pos="284"/>
        </w:tabs>
        <w:rPr>
          <w:lang w:val="kl-GL"/>
        </w:rPr>
      </w:pPr>
      <w:r>
        <w:t>Gældende lovgivning inden for det område, hvor uddannelsesudvalget har den umiddelbare kompetence.</w:t>
      </w:r>
    </w:p>
    <w:p w:rsidR="007F1447" w:rsidRPr="00490CE0" w:rsidRDefault="007F1447" w:rsidP="007F1447">
      <w:pPr>
        <w:tabs>
          <w:tab w:val="clear" w:pos="284"/>
        </w:tabs>
        <w:rPr>
          <w:lang w:val="kl-GL"/>
        </w:rPr>
      </w:pPr>
    </w:p>
    <w:p w:rsidR="007F1447" w:rsidRPr="00490CE0" w:rsidRDefault="007F1447" w:rsidP="007F1447">
      <w:pPr>
        <w:tabs>
          <w:tab w:val="clear" w:pos="284"/>
        </w:tabs>
        <w:rPr>
          <w:b/>
          <w:lang w:val="kl-GL"/>
        </w:rPr>
      </w:pPr>
      <w:r>
        <w:rPr>
          <w:b/>
        </w:rPr>
        <w:t>Faktiske forhold</w:t>
      </w:r>
    </w:p>
    <w:p w:rsidR="007F1447" w:rsidRDefault="007F1447" w:rsidP="007F1447">
      <w:pPr>
        <w:tabs>
          <w:tab w:val="clear" w:pos="284"/>
        </w:tabs>
        <w:rPr>
          <w:lang w:val="kl-GL"/>
        </w:rPr>
      </w:pPr>
      <w:r>
        <w:t xml:space="preserve">Forbruget / indtægterne skal ligge på 75,0 % hvis forbruget er jævnt fordelt over året. </w:t>
      </w:r>
    </w:p>
    <w:p w:rsidR="007F1447" w:rsidRDefault="007F1447" w:rsidP="007F1447">
      <w:pPr>
        <w:tabs>
          <w:tab w:val="clear" w:pos="284"/>
        </w:tabs>
        <w:rPr>
          <w:lang w:val="kl-GL"/>
        </w:rPr>
      </w:pPr>
    </w:p>
    <w:p w:rsidR="007F1447" w:rsidRDefault="007F1447" w:rsidP="007F1447">
      <w:pPr>
        <w:tabs>
          <w:tab w:val="clear" w:pos="284"/>
        </w:tabs>
        <w:rPr>
          <w:b/>
          <w:lang w:val="kl-GL"/>
        </w:rPr>
      </w:pPr>
      <w:r>
        <w:rPr>
          <w:b/>
        </w:rPr>
        <w:t xml:space="preserve">Konto 3 – </w:t>
      </w:r>
      <w:proofErr w:type="spellStart"/>
      <w:r>
        <w:rPr>
          <w:b/>
        </w:rPr>
        <w:t>Majoriaq</w:t>
      </w:r>
      <w:proofErr w:type="spellEnd"/>
      <w:r>
        <w:rPr>
          <w:b/>
        </w:rPr>
        <w:t xml:space="preserve"> Maniitsoq + Bygder.</w:t>
      </w:r>
    </w:p>
    <w:p w:rsidR="007F1447" w:rsidRDefault="007F1447" w:rsidP="007F1447">
      <w:pPr>
        <w:tabs>
          <w:tab w:val="clear" w:pos="284"/>
        </w:tabs>
        <w:rPr>
          <w:lang w:val="kl-GL"/>
        </w:rPr>
      </w:pPr>
      <w:r w:rsidRPr="00E917F1">
        <w:rPr>
          <w:noProof/>
        </w:rPr>
        <w:drawing>
          <wp:inline distT="0" distB="0" distL="0" distR="0" wp14:anchorId="072636AD" wp14:editId="600C4E0F">
            <wp:extent cx="6120130" cy="1331502"/>
            <wp:effectExtent l="0" t="0" r="0" b="254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1331502"/>
                    </a:xfrm>
                    <a:prstGeom prst="rect">
                      <a:avLst/>
                    </a:prstGeom>
                    <a:noFill/>
                    <a:ln>
                      <a:noFill/>
                    </a:ln>
                  </pic:spPr>
                </pic:pic>
              </a:graphicData>
            </a:graphic>
          </wp:inline>
        </w:drawing>
      </w:r>
    </w:p>
    <w:p w:rsidR="007F1447" w:rsidRDefault="007F1447" w:rsidP="007F1447">
      <w:pPr>
        <w:tabs>
          <w:tab w:val="clear" w:pos="284"/>
        </w:tabs>
        <w:rPr>
          <w:lang w:val="kl-GL"/>
        </w:rPr>
      </w:pPr>
    </w:p>
    <w:p w:rsidR="007F1447" w:rsidRDefault="007F1447" w:rsidP="007F1447">
      <w:pPr>
        <w:tabs>
          <w:tab w:val="clear" w:pos="284"/>
        </w:tabs>
        <w:rPr>
          <w:lang w:val="kl-GL"/>
        </w:rPr>
      </w:pPr>
      <w:r>
        <w:t>Konto 3 har pr. 30. september 2019 et forbrug på i alt t.kr. 7.041 ud af en bevilling på t.kr. 10.003, svarende til 70,4%.</w:t>
      </w:r>
    </w:p>
    <w:p w:rsidR="007F1447" w:rsidRDefault="007F1447" w:rsidP="007F1447">
      <w:pPr>
        <w:tabs>
          <w:tab w:val="clear" w:pos="284"/>
        </w:tabs>
        <w:rPr>
          <w:lang w:val="kl-GL"/>
        </w:rPr>
      </w:pPr>
    </w:p>
    <w:p w:rsidR="007F1447" w:rsidRPr="00A47D72" w:rsidRDefault="007F1447" w:rsidP="007F1447">
      <w:pPr>
        <w:tabs>
          <w:tab w:val="clear" w:pos="284"/>
        </w:tabs>
        <w:rPr>
          <w:b/>
          <w:lang w:val="kl-GL"/>
        </w:rPr>
      </w:pPr>
      <w:r>
        <w:rPr>
          <w:b/>
        </w:rPr>
        <w:t>Konto 34 Beskæftigelsesfremmende foranstaltninger</w:t>
      </w:r>
    </w:p>
    <w:p w:rsidR="007F1447" w:rsidRDefault="007F1447" w:rsidP="007F1447">
      <w:pPr>
        <w:tabs>
          <w:tab w:val="clear" w:pos="284"/>
        </w:tabs>
        <w:rPr>
          <w:lang w:val="kl-GL"/>
        </w:rPr>
      </w:pPr>
      <w:r>
        <w:t>Konto 34 har et forbrug på t.kr. 2.557 ud af en bevilling på t.kr. 2.593, svarende til 98,6 %</w:t>
      </w:r>
    </w:p>
    <w:p w:rsidR="007F1447" w:rsidRDefault="007F1447" w:rsidP="007F1447">
      <w:pPr>
        <w:tabs>
          <w:tab w:val="clear" w:pos="284"/>
        </w:tabs>
        <w:rPr>
          <w:lang w:val="kl-GL"/>
        </w:rPr>
      </w:pPr>
    </w:p>
    <w:p w:rsidR="007F1447" w:rsidRDefault="007F1447" w:rsidP="007F1447">
      <w:pPr>
        <w:tabs>
          <w:tab w:val="clear" w:pos="284"/>
        </w:tabs>
        <w:rPr>
          <w:lang w:val="kl-GL"/>
        </w:rPr>
      </w:pPr>
      <w:r>
        <w:t xml:space="preserve">Konto </w:t>
      </w:r>
      <w:r w:rsidRPr="00505EFD">
        <w:rPr>
          <w:b/>
        </w:rPr>
        <w:t>34-01-27</w:t>
      </w:r>
      <w:r>
        <w:t xml:space="preserve"> </w:t>
      </w:r>
      <w:proofErr w:type="spellStart"/>
      <w:r>
        <w:t>Pilersitsivik</w:t>
      </w:r>
      <w:proofErr w:type="spellEnd"/>
      <w:r>
        <w:t xml:space="preserve"> </w:t>
      </w:r>
      <w:proofErr w:type="spellStart"/>
      <w:r>
        <w:t>Asimi</w:t>
      </w:r>
      <w:proofErr w:type="spellEnd"/>
      <w:r>
        <w:t xml:space="preserve"> har en forbrug på t.kr. 235. Selvstyret har givet en tilskud til projektet på kr. 178.394,22, som skal ansøges om som refusion. I henhold til samarbejdsaftalen med Familiecenteret om projektet, skal resten af udgifterne på kr. 56.605,78 dækkes fra Området for Familie. </w:t>
      </w:r>
    </w:p>
    <w:p w:rsidR="007F1447" w:rsidRDefault="007F1447" w:rsidP="007F1447">
      <w:pPr>
        <w:tabs>
          <w:tab w:val="clear" w:pos="284"/>
        </w:tabs>
        <w:rPr>
          <w:lang w:val="kl-GL"/>
        </w:rPr>
      </w:pPr>
    </w:p>
    <w:p w:rsidR="007F1447" w:rsidRDefault="007F1447" w:rsidP="007F1447">
      <w:pPr>
        <w:tabs>
          <w:tab w:val="clear" w:pos="284"/>
        </w:tabs>
        <w:rPr>
          <w:lang w:val="kl-GL"/>
        </w:rPr>
      </w:pPr>
      <w:r>
        <w:t xml:space="preserve">Konto </w:t>
      </w:r>
      <w:r w:rsidRPr="00505EFD">
        <w:rPr>
          <w:b/>
        </w:rPr>
        <w:t>34-01-24</w:t>
      </w:r>
      <w:r>
        <w:t xml:space="preserve">- og </w:t>
      </w:r>
      <w:r w:rsidRPr="00505EFD">
        <w:rPr>
          <w:b/>
        </w:rPr>
        <w:t>34-01-28</w:t>
      </w:r>
      <w:r>
        <w:t xml:space="preserve"> ikke bogligt forløb i </w:t>
      </w:r>
      <w:proofErr w:type="spellStart"/>
      <w:r>
        <w:t>Pilersitsivik</w:t>
      </w:r>
      <w:proofErr w:type="spellEnd"/>
      <w:r>
        <w:t xml:space="preserve"> værksted og køkken, har man endnu ikke konteret modtaget støtte fra Selvstyret. Sagen om refusion pågår.</w:t>
      </w:r>
    </w:p>
    <w:p w:rsidR="007F1447" w:rsidRDefault="007F1447" w:rsidP="007F1447">
      <w:pPr>
        <w:tabs>
          <w:tab w:val="clear" w:pos="284"/>
        </w:tabs>
        <w:rPr>
          <w:lang w:val="kl-GL"/>
        </w:rPr>
      </w:pPr>
    </w:p>
    <w:p w:rsidR="007F1447" w:rsidRPr="00EF6B77" w:rsidRDefault="007F1447" w:rsidP="007F1447">
      <w:pPr>
        <w:tabs>
          <w:tab w:val="clear" w:pos="284"/>
        </w:tabs>
        <w:rPr>
          <w:b/>
          <w:lang w:val="kl-GL"/>
        </w:rPr>
      </w:pPr>
      <w:r>
        <w:rPr>
          <w:b/>
        </w:rPr>
        <w:t>Konto 35 - Revalidering og kurser</w:t>
      </w:r>
    </w:p>
    <w:p w:rsidR="007F1447" w:rsidRDefault="007F1447" w:rsidP="007F1447">
      <w:pPr>
        <w:tabs>
          <w:tab w:val="clear" w:pos="284"/>
        </w:tabs>
        <w:rPr>
          <w:lang w:val="kl-GL"/>
        </w:rPr>
      </w:pPr>
      <w:r>
        <w:t>Forbruget under konto 35 ligger samlet på 380 t.kr., ud af en bevilling på 761 t.kr., svarende til 49,9 %.</w:t>
      </w:r>
    </w:p>
    <w:p w:rsidR="007F1447" w:rsidRDefault="007F1447" w:rsidP="007F1447">
      <w:pPr>
        <w:tabs>
          <w:tab w:val="clear" w:pos="284"/>
        </w:tabs>
        <w:rPr>
          <w:lang w:val="kl-GL"/>
        </w:rPr>
      </w:pPr>
      <w:r>
        <w:t>Ingen særlig bemærkning til forbruget.</w:t>
      </w:r>
    </w:p>
    <w:p w:rsidR="007F1447" w:rsidRDefault="007F1447" w:rsidP="007F1447">
      <w:pPr>
        <w:tabs>
          <w:tab w:val="clear" w:pos="284"/>
        </w:tabs>
        <w:rPr>
          <w:lang w:val="kl-GL"/>
        </w:rPr>
      </w:pPr>
    </w:p>
    <w:p w:rsidR="007F1447" w:rsidRPr="00D62A1C" w:rsidRDefault="007F1447" w:rsidP="007F1447">
      <w:pPr>
        <w:tabs>
          <w:tab w:val="clear" w:pos="284"/>
        </w:tabs>
        <w:rPr>
          <w:b/>
          <w:lang w:val="kl-GL"/>
        </w:rPr>
      </w:pPr>
      <w:r>
        <w:rPr>
          <w:b/>
        </w:rPr>
        <w:t xml:space="preserve">Konto 38 - </w:t>
      </w:r>
      <w:proofErr w:type="spellStart"/>
      <w:r>
        <w:rPr>
          <w:b/>
        </w:rPr>
        <w:t>Majoriaq</w:t>
      </w:r>
      <w:proofErr w:type="spellEnd"/>
    </w:p>
    <w:p w:rsidR="007F1447" w:rsidRDefault="007F1447" w:rsidP="007F1447">
      <w:pPr>
        <w:tabs>
          <w:tab w:val="clear" w:pos="284"/>
        </w:tabs>
        <w:rPr>
          <w:lang w:val="kl-GL"/>
        </w:rPr>
      </w:pPr>
      <w:r>
        <w:t>Konto 38 har et forbrug på t.kr. 2.689 ud af en bevilling på t.kr. 4.021, svarende til 66,9 %.</w:t>
      </w:r>
    </w:p>
    <w:p w:rsidR="007F1447" w:rsidRDefault="007F1447" w:rsidP="007F1447">
      <w:pPr>
        <w:tabs>
          <w:tab w:val="clear" w:pos="284"/>
        </w:tabs>
        <w:rPr>
          <w:lang w:val="kl-GL"/>
        </w:rPr>
      </w:pPr>
    </w:p>
    <w:p w:rsidR="007F1447" w:rsidRDefault="007F1447" w:rsidP="007F1447">
      <w:pPr>
        <w:tabs>
          <w:tab w:val="clear" w:pos="284"/>
        </w:tabs>
        <w:rPr>
          <w:lang w:val="kl-GL"/>
        </w:rPr>
      </w:pPr>
      <w:r>
        <w:lastRenderedPageBreak/>
        <w:t xml:space="preserve">Konto </w:t>
      </w:r>
      <w:r w:rsidRPr="00505EFD">
        <w:rPr>
          <w:b/>
        </w:rPr>
        <w:t xml:space="preserve">38-01-20 </w:t>
      </w:r>
      <w:proofErr w:type="spellStart"/>
      <w:r w:rsidRPr="00505EFD">
        <w:rPr>
          <w:b/>
        </w:rPr>
        <w:t>Majoriaq</w:t>
      </w:r>
      <w:proofErr w:type="spellEnd"/>
      <w:r>
        <w:t xml:space="preserve">, har merforbrug under flere </w:t>
      </w:r>
      <w:proofErr w:type="spellStart"/>
      <w:r>
        <w:t>kontier</w:t>
      </w:r>
      <w:proofErr w:type="spellEnd"/>
      <w:r>
        <w:t xml:space="preserve"> i forhold til </w:t>
      </w:r>
      <w:proofErr w:type="gramStart"/>
      <w:r>
        <w:t>bevillingerne.-</w:t>
      </w:r>
      <w:proofErr w:type="gramEnd"/>
      <w:r>
        <w:t>Konto 38-01-20-01-10 månedslønnede, har et forbrug på t.kr. 2.499, ud af bevilling på t.kr. 2.672, svarende til 93,5%. Årsagen hertil er aflønninger af Mentor og VM-instruktør foretages fra pågældende konto. Bevillinger til Mentor ligger under konto 38-01-28-12-00 og aflønninger til VM-instruktør, hvor tilskuddet ansøges om i henhold til resultatkontrakt mellem Selvstyret og Kommuner, som konteres til konto 38-01-20-82-01.</w:t>
      </w:r>
    </w:p>
    <w:p w:rsidR="007F1447" w:rsidRDefault="007F1447" w:rsidP="007F1447">
      <w:pPr>
        <w:tabs>
          <w:tab w:val="clear" w:pos="284"/>
        </w:tabs>
        <w:rPr>
          <w:lang w:val="kl-GL"/>
        </w:rPr>
      </w:pPr>
    </w:p>
    <w:p w:rsidR="007F1447" w:rsidRDefault="007F1447" w:rsidP="007F1447">
      <w:pPr>
        <w:tabs>
          <w:tab w:val="clear" w:pos="284"/>
        </w:tabs>
        <w:rPr>
          <w:lang w:val="kl-GL"/>
        </w:rPr>
      </w:pPr>
      <w:r>
        <w:t xml:space="preserve">Konto 38-01-20-01-11 </w:t>
      </w:r>
      <w:proofErr w:type="spellStart"/>
      <w:r>
        <w:t>timilønnede</w:t>
      </w:r>
      <w:proofErr w:type="spellEnd"/>
      <w:r>
        <w:t>, forbruget ligger på 165 t.kr., ud af en bevilling på 195 t.kr., svarende til 84,5 %. I løbet af sommeren har man benyttet vikar under pedellens ferieafholdelse.</w:t>
      </w:r>
    </w:p>
    <w:p w:rsidR="007F1447" w:rsidRDefault="007F1447" w:rsidP="007F1447">
      <w:pPr>
        <w:tabs>
          <w:tab w:val="clear" w:pos="284"/>
        </w:tabs>
        <w:rPr>
          <w:lang w:val="kl-GL"/>
        </w:rPr>
      </w:pPr>
    </w:p>
    <w:p w:rsidR="007F1447" w:rsidRDefault="007F1447" w:rsidP="007F1447">
      <w:pPr>
        <w:tabs>
          <w:tab w:val="clear" w:pos="284"/>
        </w:tabs>
        <w:rPr>
          <w:lang w:val="kl-GL"/>
        </w:rPr>
      </w:pPr>
      <w:r>
        <w:t xml:space="preserve">Konto 38-01-20-05-00 Personaleudgifter har et forbrug på 33 t.kr., ud af bevilling på 30 t.kr., svarende til 110,5%. I forbindelse med </w:t>
      </w:r>
      <w:proofErr w:type="spellStart"/>
      <w:r>
        <w:t>Pilersitsivik</w:t>
      </w:r>
      <w:proofErr w:type="spellEnd"/>
      <w:r>
        <w:t xml:space="preserve"> </w:t>
      </w:r>
      <w:proofErr w:type="spellStart"/>
      <w:r>
        <w:t>Asimi</w:t>
      </w:r>
      <w:proofErr w:type="spellEnd"/>
      <w:r>
        <w:t xml:space="preserve"> har administrations medarbejderne fra </w:t>
      </w:r>
      <w:proofErr w:type="spellStart"/>
      <w:r>
        <w:t>Majoriaq</w:t>
      </w:r>
      <w:proofErr w:type="spellEnd"/>
      <w:r>
        <w:t xml:space="preserve"> og lederen for Familiecenteret været på tilsynsbesøg.</w:t>
      </w:r>
    </w:p>
    <w:p w:rsidR="007F1447" w:rsidRDefault="007F1447" w:rsidP="007F1447">
      <w:pPr>
        <w:tabs>
          <w:tab w:val="clear" w:pos="284"/>
        </w:tabs>
        <w:rPr>
          <w:lang w:val="kl-GL"/>
        </w:rPr>
      </w:pPr>
    </w:p>
    <w:p w:rsidR="007F1447" w:rsidRPr="006D49A2" w:rsidRDefault="007F1447" w:rsidP="007F1447">
      <w:pPr>
        <w:tabs>
          <w:tab w:val="clear" w:pos="284"/>
        </w:tabs>
        <w:rPr>
          <w:b/>
          <w:lang w:val="kl-GL"/>
        </w:rPr>
      </w:pPr>
      <w:r>
        <w:rPr>
          <w:b/>
        </w:rPr>
        <w:t>Konto 3902 - Arbejdsmarkedsydelser</w:t>
      </w:r>
    </w:p>
    <w:p w:rsidR="007F1447" w:rsidRDefault="007F1447" w:rsidP="007F1447">
      <w:pPr>
        <w:tabs>
          <w:tab w:val="clear" w:pos="284"/>
        </w:tabs>
        <w:rPr>
          <w:lang w:val="kl-GL"/>
        </w:rPr>
      </w:pPr>
      <w:r>
        <w:t xml:space="preserve">Konto 39-02-80-30-12 arbejdsmarkedsydelser </w:t>
      </w:r>
      <w:proofErr w:type="spellStart"/>
      <w:r>
        <w:t>Atammik</w:t>
      </w:r>
      <w:proofErr w:type="spellEnd"/>
      <w:r>
        <w:t>, har et forbrug på 231 t. Kr., ud af en bevilling på 115 t. Kr., svarende til 201,2%. Der føres tilsyn med forbruget.</w:t>
      </w:r>
    </w:p>
    <w:p w:rsidR="007F1447" w:rsidRDefault="007F1447" w:rsidP="007F1447">
      <w:pPr>
        <w:tabs>
          <w:tab w:val="clear" w:pos="284"/>
        </w:tabs>
        <w:rPr>
          <w:lang w:val="kl-GL"/>
        </w:rPr>
      </w:pPr>
    </w:p>
    <w:p w:rsidR="007F1447" w:rsidRPr="00490CE0" w:rsidRDefault="007F1447" w:rsidP="007F1447">
      <w:pPr>
        <w:autoSpaceDE w:val="0"/>
        <w:autoSpaceDN w:val="0"/>
        <w:adjustRightInd w:val="0"/>
        <w:rPr>
          <w:szCs w:val="24"/>
          <w:lang w:val="kl-GL"/>
        </w:rPr>
      </w:pPr>
      <w:r>
        <w:t xml:space="preserve">Det er også nødvendigt at foretage en omplacering blandt </w:t>
      </w:r>
      <w:proofErr w:type="spellStart"/>
      <w:r>
        <w:t>kontierne</w:t>
      </w:r>
      <w:proofErr w:type="spellEnd"/>
      <w:r>
        <w:t xml:space="preserve"> 38-01 og 39-01, inden slutningen af året.</w:t>
      </w:r>
    </w:p>
    <w:p w:rsidR="007F1447" w:rsidRPr="00490CE0" w:rsidRDefault="007F1447" w:rsidP="007F1447">
      <w:pPr>
        <w:tabs>
          <w:tab w:val="clear" w:pos="284"/>
        </w:tabs>
        <w:rPr>
          <w:lang w:val="kl-GL"/>
        </w:rPr>
      </w:pPr>
    </w:p>
    <w:p w:rsidR="007F1447" w:rsidRPr="00490CE0" w:rsidRDefault="007F1447" w:rsidP="007F1447">
      <w:pPr>
        <w:tabs>
          <w:tab w:val="clear" w:pos="284"/>
        </w:tabs>
        <w:rPr>
          <w:b/>
          <w:lang w:val="kl-GL"/>
        </w:rPr>
      </w:pPr>
      <w:r>
        <w:rPr>
          <w:b/>
        </w:rPr>
        <w:t>Konto 5 – Uddannelse Maniitsoq + Bygder.</w:t>
      </w:r>
    </w:p>
    <w:tbl>
      <w:tblPr>
        <w:tblW w:w="5000" w:type="pct"/>
        <w:tblCellMar>
          <w:left w:w="70" w:type="dxa"/>
          <w:right w:w="70" w:type="dxa"/>
        </w:tblCellMar>
        <w:tblLook w:val="04A0" w:firstRow="1" w:lastRow="0" w:firstColumn="1" w:lastColumn="0" w:noHBand="0" w:noVBand="1"/>
      </w:tblPr>
      <w:tblGrid>
        <w:gridCol w:w="825"/>
        <w:gridCol w:w="3301"/>
        <w:gridCol w:w="748"/>
        <w:gridCol w:w="748"/>
        <w:gridCol w:w="921"/>
        <w:gridCol w:w="829"/>
        <w:gridCol w:w="769"/>
        <w:gridCol w:w="718"/>
        <w:gridCol w:w="769"/>
      </w:tblGrid>
      <w:tr w:rsidR="007F1447" w:rsidRPr="00C15775" w:rsidTr="008817BA">
        <w:trPr>
          <w:trHeight w:val="255"/>
        </w:trPr>
        <w:tc>
          <w:tcPr>
            <w:tcW w:w="431" w:type="pct"/>
            <w:tcBorders>
              <w:top w:val="single" w:sz="4" w:space="0" w:color="auto"/>
              <w:left w:val="single" w:sz="4" w:space="0" w:color="auto"/>
              <w:bottom w:val="nil"/>
              <w:right w:val="nil"/>
            </w:tcBorders>
            <w:shd w:val="clear" w:color="000000" w:fill="D9D9D9"/>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1717" w:type="pct"/>
            <w:tcBorders>
              <w:top w:val="single" w:sz="4" w:space="0" w:color="auto"/>
              <w:left w:val="single" w:sz="4" w:space="0" w:color="auto"/>
              <w:bottom w:val="nil"/>
              <w:right w:val="single" w:sz="4" w:space="0" w:color="auto"/>
            </w:tcBorders>
            <w:shd w:val="clear" w:color="000000" w:fill="D9D9D9"/>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1" w:type="pct"/>
            <w:tcBorders>
              <w:top w:val="single" w:sz="4" w:space="0" w:color="auto"/>
              <w:left w:val="nil"/>
              <w:bottom w:val="nil"/>
              <w:right w:val="nil"/>
            </w:tcBorders>
            <w:shd w:val="clear" w:color="000000" w:fill="D9D9D9"/>
            <w:noWrap/>
            <w:hideMark/>
          </w:tcPr>
          <w:p w:rsidR="007F1447" w:rsidRPr="00C15775"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Budget</w:t>
            </w:r>
          </w:p>
        </w:tc>
        <w:tc>
          <w:tcPr>
            <w:tcW w:w="391" w:type="pct"/>
            <w:tcBorders>
              <w:top w:val="single" w:sz="4" w:space="0" w:color="auto"/>
              <w:left w:val="nil"/>
              <w:bottom w:val="nil"/>
              <w:right w:val="nil"/>
            </w:tcBorders>
            <w:shd w:val="clear" w:color="000000" w:fill="D9D9D9"/>
            <w:noWrap/>
            <w:hideMark/>
          </w:tcPr>
          <w:p w:rsidR="007F1447" w:rsidRPr="00C15775"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Tillæg</w:t>
            </w:r>
          </w:p>
        </w:tc>
        <w:tc>
          <w:tcPr>
            <w:tcW w:w="481" w:type="pct"/>
            <w:tcBorders>
              <w:top w:val="single" w:sz="4" w:space="0" w:color="auto"/>
              <w:left w:val="nil"/>
              <w:bottom w:val="nil"/>
              <w:right w:val="nil"/>
            </w:tcBorders>
            <w:shd w:val="clear" w:color="000000" w:fill="D9D9D9"/>
            <w:noWrap/>
            <w:hideMark/>
          </w:tcPr>
          <w:p w:rsidR="007F1447" w:rsidRPr="00C15775" w:rsidRDefault="007F1447" w:rsidP="008817BA">
            <w:pPr>
              <w:tabs>
                <w:tab w:val="clear" w:pos="284"/>
              </w:tabs>
              <w:jc w:val="center"/>
              <w:rPr>
                <w:rFonts w:ascii="Arial Narrow" w:hAnsi="Arial Narrow" w:cs="Arial"/>
                <w:b/>
                <w:bCs/>
                <w:color w:val="000000"/>
                <w:sz w:val="20"/>
              </w:rPr>
            </w:pPr>
            <w:proofErr w:type="spellStart"/>
            <w:r>
              <w:rPr>
                <w:rFonts w:ascii="Arial Narrow" w:hAnsi="Arial Narrow" w:cs="Arial"/>
                <w:b/>
                <w:bCs/>
                <w:color w:val="000000"/>
                <w:sz w:val="20"/>
              </w:rPr>
              <w:t>Omplac</w:t>
            </w:r>
            <w:proofErr w:type="spellEnd"/>
            <w:r>
              <w:rPr>
                <w:rFonts w:ascii="Arial Narrow" w:hAnsi="Arial Narrow" w:cs="Arial"/>
                <w:b/>
                <w:bCs/>
                <w:color w:val="000000"/>
                <w:sz w:val="20"/>
              </w:rPr>
              <w:t>.</w:t>
            </w:r>
          </w:p>
        </w:tc>
        <w:tc>
          <w:tcPr>
            <w:tcW w:w="433" w:type="pct"/>
            <w:tcBorders>
              <w:top w:val="single" w:sz="4" w:space="0" w:color="auto"/>
              <w:left w:val="nil"/>
              <w:bottom w:val="nil"/>
              <w:right w:val="nil"/>
            </w:tcBorders>
            <w:shd w:val="clear" w:color="000000" w:fill="D9D9D9"/>
            <w:noWrap/>
            <w:hideMark/>
          </w:tcPr>
          <w:p w:rsidR="007F1447" w:rsidRPr="00C15775"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Bevilling</w:t>
            </w:r>
          </w:p>
        </w:tc>
        <w:tc>
          <w:tcPr>
            <w:tcW w:w="391" w:type="pct"/>
            <w:tcBorders>
              <w:top w:val="single" w:sz="4" w:space="0" w:color="auto"/>
              <w:left w:val="nil"/>
              <w:bottom w:val="nil"/>
              <w:right w:val="nil"/>
            </w:tcBorders>
            <w:shd w:val="clear" w:color="000000" w:fill="D9D9D9"/>
            <w:noWrap/>
            <w:hideMark/>
          </w:tcPr>
          <w:p w:rsidR="007F1447" w:rsidRPr="00C15775"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Forbrug</w:t>
            </w:r>
          </w:p>
        </w:tc>
        <w:tc>
          <w:tcPr>
            <w:tcW w:w="375" w:type="pct"/>
            <w:tcBorders>
              <w:top w:val="single" w:sz="4" w:space="0" w:color="auto"/>
              <w:left w:val="nil"/>
              <w:bottom w:val="nil"/>
              <w:right w:val="nil"/>
            </w:tcBorders>
            <w:shd w:val="clear" w:color="000000" w:fill="D9D9D9"/>
            <w:noWrap/>
            <w:hideMark/>
          </w:tcPr>
          <w:p w:rsidR="007F1447" w:rsidRPr="00C15775"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Rest</w:t>
            </w:r>
          </w:p>
        </w:tc>
        <w:tc>
          <w:tcPr>
            <w:tcW w:w="391" w:type="pct"/>
            <w:tcBorders>
              <w:top w:val="single" w:sz="4" w:space="0" w:color="auto"/>
              <w:left w:val="single" w:sz="4" w:space="0" w:color="auto"/>
              <w:bottom w:val="nil"/>
              <w:right w:val="single" w:sz="4" w:space="0" w:color="auto"/>
            </w:tcBorders>
            <w:shd w:val="clear" w:color="000000" w:fill="D9D9D9"/>
            <w:noWrap/>
            <w:hideMark/>
          </w:tcPr>
          <w:p w:rsidR="007F1447" w:rsidRPr="00C15775"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Forbrug</w:t>
            </w:r>
          </w:p>
        </w:tc>
      </w:tr>
      <w:tr w:rsidR="007F1447" w:rsidRPr="00C15775" w:rsidTr="008817BA">
        <w:trPr>
          <w:trHeight w:val="270"/>
        </w:trPr>
        <w:tc>
          <w:tcPr>
            <w:tcW w:w="431" w:type="pct"/>
            <w:tcBorders>
              <w:top w:val="nil"/>
              <w:left w:val="single" w:sz="4" w:space="0" w:color="auto"/>
              <w:bottom w:val="single" w:sz="4" w:space="0" w:color="auto"/>
              <w:right w:val="nil"/>
            </w:tcBorders>
            <w:shd w:val="clear" w:color="000000" w:fill="D9D9D9"/>
            <w:noWrap/>
            <w:hideMark/>
          </w:tcPr>
          <w:p w:rsidR="007F1447" w:rsidRPr="00C15775" w:rsidRDefault="007F1447" w:rsidP="008817BA">
            <w:pPr>
              <w:tabs>
                <w:tab w:val="clear" w:pos="284"/>
              </w:tabs>
              <w:rPr>
                <w:rFonts w:ascii="Arial" w:hAnsi="Arial" w:cs="Arial"/>
                <w:b/>
                <w:bCs/>
                <w:color w:val="000000"/>
                <w:sz w:val="20"/>
              </w:rPr>
            </w:pPr>
            <w:r>
              <w:rPr>
                <w:rFonts w:ascii="Arial" w:hAnsi="Arial" w:cs="Arial"/>
                <w:b/>
                <w:bCs/>
                <w:color w:val="000000"/>
                <w:sz w:val="20"/>
              </w:rPr>
              <w:t>Konto</w:t>
            </w:r>
          </w:p>
        </w:tc>
        <w:tc>
          <w:tcPr>
            <w:tcW w:w="1717" w:type="pct"/>
            <w:tcBorders>
              <w:top w:val="nil"/>
              <w:left w:val="single" w:sz="4" w:space="0" w:color="auto"/>
              <w:bottom w:val="single" w:sz="4" w:space="0" w:color="auto"/>
              <w:right w:val="single" w:sz="4" w:space="0" w:color="auto"/>
            </w:tcBorders>
            <w:shd w:val="clear" w:color="000000" w:fill="D9D9D9"/>
            <w:noWrap/>
            <w:hideMark/>
          </w:tcPr>
          <w:p w:rsidR="007F1447" w:rsidRPr="00C15775" w:rsidRDefault="007F1447" w:rsidP="008817BA">
            <w:pPr>
              <w:tabs>
                <w:tab w:val="clear" w:pos="284"/>
              </w:tabs>
              <w:rPr>
                <w:rFonts w:ascii="Arial" w:hAnsi="Arial" w:cs="Arial"/>
                <w:b/>
                <w:bCs/>
                <w:color w:val="000000"/>
                <w:sz w:val="20"/>
              </w:rPr>
            </w:pPr>
            <w:r>
              <w:rPr>
                <w:rFonts w:ascii="Arial" w:hAnsi="Arial" w:cs="Arial"/>
                <w:b/>
                <w:bCs/>
                <w:color w:val="000000"/>
                <w:sz w:val="20"/>
              </w:rPr>
              <w:t>Kontonavn</w:t>
            </w:r>
          </w:p>
        </w:tc>
        <w:tc>
          <w:tcPr>
            <w:tcW w:w="391" w:type="pct"/>
            <w:tcBorders>
              <w:top w:val="nil"/>
              <w:left w:val="nil"/>
              <w:bottom w:val="single" w:sz="4" w:space="0" w:color="auto"/>
              <w:right w:val="nil"/>
            </w:tcBorders>
            <w:shd w:val="clear" w:color="000000" w:fill="D9D9D9"/>
            <w:hideMark/>
          </w:tcPr>
          <w:p w:rsidR="007F1447" w:rsidRPr="00C15775"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391" w:type="pct"/>
            <w:tcBorders>
              <w:top w:val="nil"/>
              <w:left w:val="nil"/>
              <w:bottom w:val="single" w:sz="4" w:space="0" w:color="auto"/>
              <w:right w:val="nil"/>
            </w:tcBorders>
            <w:shd w:val="clear" w:color="000000" w:fill="D9D9D9"/>
            <w:hideMark/>
          </w:tcPr>
          <w:p w:rsidR="007F1447" w:rsidRPr="00C15775"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81" w:type="pct"/>
            <w:tcBorders>
              <w:top w:val="nil"/>
              <w:left w:val="nil"/>
              <w:bottom w:val="single" w:sz="4" w:space="0" w:color="auto"/>
              <w:right w:val="nil"/>
            </w:tcBorders>
            <w:shd w:val="clear" w:color="000000" w:fill="D9D9D9"/>
            <w:hideMark/>
          </w:tcPr>
          <w:p w:rsidR="007F1447" w:rsidRPr="00C15775"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33" w:type="pct"/>
            <w:tcBorders>
              <w:top w:val="nil"/>
              <w:left w:val="nil"/>
              <w:bottom w:val="single" w:sz="4" w:space="0" w:color="auto"/>
              <w:right w:val="nil"/>
            </w:tcBorders>
            <w:shd w:val="clear" w:color="000000" w:fill="D9D9D9"/>
            <w:hideMark/>
          </w:tcPr>
          <w:p w:rsidR="007F1447" w:rsidRPr="00C15775"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391" w:type="pct"/>
            <w:tcBorders>
              <w:top w:val="nil"/>
              <w:left w:val="nil"/>
              <w:bottom w:val="single" w:sz="4" w:space="0" w:color="auto"/>
              <w:right w:val="nil"/>
            </w:tcBorders>
            <w:shd w:val="clear" w:color="000000" w:fill="D9D9D9"/>
            <w:hideMark/>
          </w:tcPr>
          <w:p w:rsidR="007F1447" w:rsidRPr="00C15775"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375" w:type="pct"/>
            <w:tcBorders>
              <w:top w:val="nil"/>
              <w:left w:val="nil"/>
              <w:bottom w:val="single" w:sz="4" w:space="0" w:color="auto"/>
              <w:right w:val="nil"/>
            </w:tcBorders>
            <w:shd w:val="clear" w:color="000000" w:fill="D9D9D9"/>
            <w:hideMark/>
          </w:tcPr>
          <w:p w:rsidR="007F1447" w:rsidRPr="00C15775"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391" w:type="pct"/>
            <w:tcBorders>
              <w:top w:val="nil"/>
              <w:left w:val="single" w:sz="4" w:space="0" w:color="auto"/>
              <w:bottom w:val="single" w:sz="4" w:space="0" w:color="auto"/>
              <w:right w:val="single" w:sz="4" w:space="0" w:color="auto"/>
            </w:tcBorders>
            <w:shd w:val="clear" w:color="000000" w:fill="D9D9D9"/>
            <w:noWrap/>
            <w:hideMark/>
          </w:tcPr>
          <w:p w:rsidR="007F1447" w:rsidRPr="00C15775"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i %</w:t>
            </w:r>
          </w:p>
        </w:tc>
      </w:tr>
      <w:tr w:rsidR="007F1447" w:rsidRPr="00C15775" w:rsidTr="008817BA">
        <w:trPr>
          <w:trHeight w:val="255"/>
        </w:trPr>
        <w:tc>
          <w:tcPr>
            <w:tcW w:w="431" w:type="pct"/>
            <w:tcBorders>
              <w:top w:val="nil"/>
              <w:left w:val="single" w:sz="4" w:space="0" w:color="auto"/>
              <w:bottom w:val="nil"/>
              <w:right w:val="nil"/>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1717" w:type="pct"/>
            <w:tcBorders>
              <w:top w:val="nil"/>
              <w:left w:val="single" w:sz="4" w:space="0" w:color="auto"/>
              <w:bottom w:val="nil"/>
              <w:right w:val="single" w:sz="4" w:space="0" w:color="auto"/>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rPr>
                <w:rFonts w:ascii="Arial" w:hAnsi="Arial" w:cs="Arial"/>
                <w:color w:val="000000"/>
                <w:sz w:val="20"/>
              </w:rPr>
            </w:pP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481"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433"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375"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391" w:type="pct"/>
            <w:tcBorders>
              <w:top w:val="nil"/>
              <w:left w:val="single" w:sz="4" w:space="0" w:color="auto"/>
              <w:bottom w:val="nil"/>
              <w:right w:val="single" w:sz="4" w:space="0" w:color="auto"/>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C15775" w:rsidTr="008817BA">
        <w:trPr>
          <w:trHeight w:val="330"/>
        </w:trPr>
        <w:tc>
          <w:tcPr>
            <w:tcW w:w="431" w:type="pct"/>
            <w:tcBorders>
              <w:top w:val="nil"/>
              <w:left w:val="single" w:sz="4" w:space="0" w:color="auto"/>
              <w:bottom w:val="nil"/>
              <w:right w:val="nil"/>
            </w:tcBorders>
            <w:shd w:val="clear" w:color="auto" w:fill="auto"/>
            <w:noWrap/>
            <w:hideMark/>
          </w:tcPr>
          <w:p w:rsidR="007F1447" w:rsidRPr="00C15775" w:rsidRDefault="007F1447" w:rsidP="008817BA">
            <w:pPr>
              <w:tabs>
                <w:tab w:val="clear" w:pos="284"/>
              </w:tabs>
              <w:jc w:val="center"/>
              <w:rPr>
                <w:rFonts w:ascii="Arial Narrow" w:hAnsi="Arial Narrow" w:cs="Arial"/>
                <w:b/>
                <w:bCs/>
                <w:color w:val="000000"/>
                <w:sz w:val="22"/>
                <w:szCs w:val="22"/>
              </w:rPr>
            </w:pPr>
            <w:r>
              <w:rPr>
                <w:rFonts w:ascii="Arial Narrow" w:hAnsi="Arial Narrow" w:cs="Arial"/>
                <w:b/>
                <w:bCs/>
                <w:color w:val="000000"/>
                <w:sz w:val="22"/>
                <w:szCs w:val="22"/>
              </w:rPr>
              <w:t>5</w:t>
            </w:r>
          </w:p>
        </w:tc>
        <w:tc>
          <w:tcPr>
            <w:tcW w:w="1717" w:type="pct"/>
            <w:tcBorders>
              <w:top w:val="nil"/>
              <w:left w:val="single" w:sz="4" w:space="0" w:color="auto"/>
              <w:bottom w:val="nil"/>
              <w:right w:val="single" w:sz="4" w:space="0" w:color="auto"/>
            </w:tcBorders>
            <w:shd w:val="clear" w:color="auto" w:fill="auto"/>
            <w:noWrap/>
            <w:hideMark/>
          </w:tcPr>
          <w:p w:rsidR="007F1447" w:rsidRPr="00C15775" w:rsidRDefault="007F1447" w:rsidP="008817BA">
            <w:pPr>
              <w:tabs>
                <w:tab w:val="clear" w:pos="284"/>
              </w:tabs>
              <w:rPr>
                <w:rFonts w:ascii="Arial Narrow" w:hAnsi="Arial Narrow" w:cs="Arial"/>
                <w:b/>
                <w:bCs/>
                <w:color w:val="000000"/>
                <w:sz w:val="22"/>
                <w:szCs w:val="22"/>
              </w:rPr>
            </w:pPr>
            <w:r>
              <w:rPr>
                <w:rFonts w:ascii="Arial Narrow" w:hAnsi="Arial Narrow" w:cs="Arial"/>
                <w:b/>
                <w:bCs/>
                <w:color w:val="000000"/>
                <w:sz w:val="22"/>
                <w:szCs w:val="22"/>
              </w:rPr>
              <w:t>UNDERVISNING OG KULTUR</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rPr>
                <w:rFonts w:ascii="Arial Narrow" w:hAnsi="Arial Narrow" w:cs="Arial"/>
                <w:b/>
                <w:bCs/>
                <w:color w:val="000000"/>
                <w:sz w:val="22"/>
                <w:szCs w:val="22"/>
              </w:rPr>
            </w:pP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481"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433"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375"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391" w:type="pct"/>
            <w:tcBorders>
              <w:top w:val="nil"/>
              <w:left w:val="single" w:sz="4" w:space="0" w:color="auto"/>
              <w:bottom w:val="nil"/>
              <w:right w:val="single" w:sz="4" w:space="0" w:color="auto"/>
            </w:tcBorders>
            <w:shd w:val="clear" w:color="auto" w:fill="auto"/>
            <w:noWrap/>
            <w:hideMark/>
          </w:tcPr>
          <w:p w:rsidR="007F1447" w:rsidRPr="00C15775" w:rsidRDefault="007F1447" w:rsidP="008817BA">
            <w:pPr>
              <w:tabs>
                <w:tab w:val="clear" w:pos="284"/>
              </w:tabs>
              <w:rPr>
                <w:rFonts w:ascii="Arial Narrow" w:hAnsi="Arial Narrow" w:cs="Arial"/>
                <w:b/>
                <w:bCs/>
                <w:color w:val="000000"/>
                <w:sz w:val="22"/>
                <w:szCs w:val="22"/>
              </w:rPr>
            </w:pPr>
            <w:r>
              <w:rPr>
                <w:rFonts w:ascii="Arial Narrow" w:hAnsi="Arial Narrow" w:cs="Arial"/>
                <w:b/>
                <w:bCs/>
                <w:color w:val="000000"/>
                <w:sz w:val="22"/>
                <w:szCs w:val="22"/>
              </w:rPr>
              <w:t> </w:t>
            </w:r>
          </w:p>
        </w:tc>
      </w:tr>
      <w:tr w:rsidR="007F1447" w:rsidRPr="00C15775" w:rsidTr="008817BA">
        <w:trPr>
          <w:trHeight w:val="255"/>
        </w:trPr>
        <w:tc>
          <w:tcPr>
            <w:tcW w:w="431" w:type="pct"/>
            <w:tcBorders>
              <w:top w:val="nil"/>
              <w:left w:val="single" w:sz="4" w:space="0" w:color="auto"/>
              <w:bottom w:val="nil"/>
              <w:right w:val="nil"/>
            </w:tcBorders>
            <w:shd w:val="clear" w:color="auto" w:fill="auto"/>
            <w:noWrap/>
            <w:hideMark/>
          </w:tcPr>
          <w:p w:rsidR="007F1447" w:rsidRPr="00C15775"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50</w:t>
            </w:r>
          </w:p>
        </w:tc>
        <w:tc>
          <w:tcPr>
            <w:tcW w:w="1717" w:type="pct"/>
            <w:tcBorders>
              <w:top w:val="nil"/>
              <w:left w:val="single" w:sz="4" w:space="0" w:color="auto"/>
              <w:bottom w:val="nil"/>
              <w:right w:val="single" w:sz="4" w:space="0" w:color="auto"/>
            </w:tcBorders>
            <w:shd w:val="clear" w:color="auto" w:fill="auto"/>
            <w:hideMark/>
          </w:tcPr>
          <w:p w:rsidR="007F1447" w:rsidRPr="00C15775" w:rsidRDefault="007F1447" w:rsidP="008817BA">
            <w:pPr>
              <w:tabs>
                <w:tab w:val="clear" w:pos="284"/>
              </w:tabs>
              <w:rPr>
                <w:rFonts w:ascii="Arial Narrow" w:hAnsi="Arial Narrow" w:cs="Arial"/>
                <w:color w:val="000000"/>
                <w:sz w:val="20"/>
              </w:rPr>
            </w:pPr>
            <w:r>
              <w:rPr>
                <w:rFonts w:ascii="Arial Narrow" w:hAnsi="Arial Narrow" w:cs="Arial"/>
                <w:color w:val="000000"/>
                <w:sz w:val="20"/>
              </w:rPr>
              <w:t xml:space="preserve">Dagsforanstaltninger for børn  </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22.992</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8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33"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22.992</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18.248</w:t>
            </w:r>
          </w:p>
        </w:tc>
        <w:tc>
          <w:tcPr>
            <w:tcW w:w="375"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4.744</w:t>
            </w:r>
          </w:p>
        </w:tc>
        <w:tc>
          <w:tcPr>
            <w:tcW w:w="391" w:type="pct"/>
            <w:tcBorders>
              <w:top w:val="nil"/>
              <w:left w:val="single" w:sz="4" w:space="0" w:color="auto"/>
              <w:bottom w:val="nil"/>
              <w:right w:val="single" w:sz="4" w:space="0" w:color="auto"/>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79,4</w:t>
            </w:r>
          </w:p>
        </w:tc>
      </w:tr>
      <w:tr w:rsidR="007F1447" w:rsidRPr="00C15775" w:rsidTr="008817BA">
        <w:trPr>
          <w:trHeight w:val="255"/>
        </w:trPr>
        <w:tc>
          <w:tcPr>
            <w:tcW w:w="431" w:type="pct"/>
            <w:tcBorders>
              <w:top w:val="nil"/>
              <w:left w:val="single" w:sz="4" w:space="0" w:color="auto"/>
              <w:bottom w:val="nil"/>
              <w:right w:val="nil"/>
            </w:tcBorders>
            <w:shd w:val="clear" w:color="auto" w:fill="auto"/>
            <w:noWrap/>
            <w:hideMark/>
          </w:tcPr>
          <w:p w:rsidR="007F1447" w:rsidRPr="00C15775" w:rsidRDefault="007F1447" w:rsidP="008817BA">
            <w:pPr>
              <w:tabs>
                <w:tab w:val="clear" w:pos="284"/>
              </w:tabs>
              <w:jc w:val="center"/>
              <w:rPr>
                <w:rFonts w:ascii="Arial" w:hAnsi="Arial" w:cs="Arial"/>
                <w:color w:val="000000"/>
                <w:sz w:val="20"/>
              </w:rPr>
            </w:pPr>
            <w:r>
              <w:rPr>
                <w:rFonts w:ascii="Arial" w:hAnsi="Arial" w:cs="Arial"/>
                <w:color w:val="000000"/>
                <w:sz w:val="20"/>
              </w:rPr>
              <w:t> </w:t>
            </w:r>
          </w:p>
        </w:tc>
        <w:tc>
          <w:tcPr>
            <w:tcW w:w="1717" w:type="pct"/>
            <w:tcBorders>
              <w:top w:val="nil"/>
              <w:left w:val="single" w:sz="4" w:space="0" w:color="auto"/>
              <w:bottom w:val="nil"/>
              <w:right w:val="single" w:sz="4" w:space="0" w:color="auto"/>
            </w:tcBorders>
            <w:shd w:val="clear" w:color="auto" w:fill="auto"/>
            <w:hideMark/>
          </w:tcPr>
          <w:p w:rsidR="007F1447" w:rsidRPr="00C15775" w:rsidRDefault="007F1447" w:rsidP="008817BA">
            <w:pPr>
              <w:tabs>
                <w:tab w:val="clear" w:pos="284"/>
              </w:tabs>
              <w:rPr>
                <w:rFonts w:ascii="Arial Narrow" w:hAnsi="Arial Narrow" w:cs="Arial"/>
                <w:color w:val="000000"/>
                <w:sz w:val="20"/>
              </w:rPr>
            </w:pPr>
            <w:r>
              <w:rPr>
                <w:rFonts w:ascii="Arial Narrow" w:hAnsi="Arial Narrow" w:cs="Arial"/>
                <w:color w:val="000000"/>
                <w:sz w:val="20"/>
              </w:rPr>
              <w:t>og unge</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rPr>
                <w:rFonts w:ascii="Arial Narrow" w:hAnsi="Arial Narrow" w:cs="Arial"/>
                <w:color w:val="000000"/>
                <w:sz w:val="20"/>
              </w:rPr>
            </w:pP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481"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433"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375"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391" w:type="pct"/>
            <w:tcBorders>
              <w:top w:val="nil"/>
              <w:left w:val="single" w:sz="4" w:space="0" w:color="auto"/>
              <w:bottom w:val="nil"/>
              <w:right w:val="single" w:sz="4" w:space="0" w:color="auto"/>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C15775" w:rsidTr="008817BA">
        <w:trPr>
          <w:trHeight w:val="255"/>
        </w:trPr>
        <w:tc>
          <w:tcPr>
            <w:tcW w:w="431" w:type="pct"/>
            <w:tcBorders>
              <w:top w:val="nil"/>
              <w:left w:val="single" w:sz="4" w:space="0" w:color="auto"/>
              <w:bottom w:val="nil"/>
              <w:right w:val="nil"/>
            </w:tcBorders>
            <w:shd w:val="clear" w:color="auto" w:fill="auto"/>
            <w:noWrap/>
            <w:hideMark/>
          </w:tcPr>
          <w:p w:rsidR="007F1447" w:rsidRPr="00C15775"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51</w:t>
            </w:r>
          </w:p>
        </w:tc>
        <w:tc>
          <w:tcPr>
            <w:tcW w:w="1717" w:type="pct"/>
            <w:tcBorders>
              <w:top w:val="nil"/>
              <w:left w:val="single" w:sz="4" w:space="0" w:color="auto"/>
              <w:bottom w:val="nil"/>
              <w:right w:val="single" w:sz="4" w:space="0" w:color="auto"/>
            </w:tcBorders>
            <w:shd w:val="clear" w:color="auto" w:fill="auto"/>
            <w:hideMark/>
          </w:tcPr>
          <w:p w:rsidR="007F1447" w:rsidRPr="00C15775" w:rsidRDefault="007F1447" w:rsidP="008817BA">
            <w:pPr>
              <w:tabs>
                <w:tab w:val="clear" w:pos="284"/>
              </w:tabs>
              <w:rPr>
                <w:rFonts w:ascii="Arial Narrow" w:hAnsi="Arial Narrow" w:cs="Arial"/>
                <w:color w:val="000000"/>
                <w:sz w:val="20"/>
              </w:rPr>
            </w:pPr>
            <w:r>
              <w:rPr>
                <w:rFonts w:ascii="Arial Narrow" w:hAnsi="Arial Narrow" w:cs="Arial"/>
                <w:color w:val="000000"/>
                <w:sz w:val="20"/>
              </w:rPr>
              <w:t>SKOLEVÆSENET</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48.888</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8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33"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48.888</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33.206</w:t>
            </w:r>
          </w:p>
        </w:tc>
        <w:tc>
          <w:tcPr>
            <w:tcW w:w="375"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15.682</w:t>
            </w:r>
          </w:p>
        </w:tc>
        <w:tc>
          <w:tcPr>
            <w:tcW w:w="391" w:type="pct"/>
            <w:tcBorders>
              <w:top w:val="nil"/>
              <w:left w:val="single" w:sz="4" w:space="0" w:color="auto"/>
              <w:bottom w:val="nil"/>
              <w:right w:val="single" w:sz="4" w:space="0" w:color="auto"/>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67,9</w:t>
            </w:r>
          </w:p>
        </w:tc>
      </w:tr>
      <w:tr w:rsidR="007F1447" w:rsidRPr="00C15775" w:rsidTr="008817BA">
        <w:trPr>
          <w:trHeight w:val="255"/>
        </w:trPr>
        <w:tc>
          <w:tcPr>
            <w:tcW w:w="431" w:type="pct"/>
            <w:tcBorders>
              <w:top w:val="nil"/>
              <w:left w:val="single" w:sz="4" w:space="0" w:color="auto"/>
              <w:bottom w:val="nil"/>
              <w:right w:val="nil"/>
            </w:tcBorders>
            <w:shd w:val="clear" w:color="auto" w:fill="auto"/>
            <w:noWrap/>
            <w:hideMark/>
          </w:tcPr>
          <w:p w:rsidR="007F1447" w:rsidRPr="00C15775"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53</w:t>
            </w:r>
          </w:p>
        </w:tc>
        <w:tc>
          <w:tcPr>
            <w:tcW w:w="1717" w:type="pct"/>
            <w:tcBorders>
              <w:top w:val="nil"/>
              <w:left w:val="single" w:sz="4" w:space="0" w:color="auto"/>
              <w:bottom w:val="nil"/>
              <w:right w:val="single" w:sz="4" w:space="0" w:color="auto"/>
            </w:tcBorders>
            <w:shd w:val="clear" w:color="auto" w:fill="auto"/>
            <w:hideMark/>
          </w:tcPr>
          <w:p w:rsidR="007F1447" w:rsidRPr="00C15775" w:rsidRDefault="007F1447" w:rsidP="008817BA">
            <w:pPr>
              <w:tabs>
                <w:tab w:val="clear" w:pos="284"/>
              </w:tabs>
              <w:rPr>
                <w:rFonts w:ascii="Arial Narrow" w:hAnsi="Arial Narrow" w:cs="Arial"/>
                <w:color w:val="000000"/>
                <w:sz w:val="20"/>
              </w:rPr>
            </w:pPr>
            <w:r>
              <w:rPr>
                <w:rFonts w:ascii="Arial Narrow" w:hAnsi="Arial Narrow" w:cs="Arial"/>
                <w:color w:val="000000"/>
                <w:sz w:val="20"/>
              </w:rPr>
              <w:t xml:space="preserve">FRITIDSVIRKSOMHED  </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5.469</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8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33"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5.469</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4.622</w:t>
            </w:r>
          </w:p>
        </w:tc>
        <w:tc>
          <w:tcPr>
            <w:tcW w:w="375"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847</w:t>
            </w:r>
          </w:p>
        </w:tc>
        <w:tc>
          <w:tcPr>
            <w:tcW w:w="391" w:type="pct"/>
            <w:tcBorders>
              <w:top w:val="nil"/>
              <w:left w:val="single" w:sz="4" w:space="0" w:color="auto"/>
              <w:bottom w:val="nil"/>
              <w:right w:val="single" w:sz="4" w:space="0" w:color="auto"/>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84,5</w:t>
            </w:r>
          </w:p>
        </w:tc>
      </w:tr>
      <w:tr w:rsidR="007F1447" w:rsidRPr="00C15775" w:rsidTr="008817BA">
        <w:trPr>
          <w:trHeight w:val="255"/>
        </w:trPr>
        <w:tc>
          <w:tcPr>
            <w:tcW w:w="431" w:type="pct"/>
            <w:tcBorders>
              <w:top w:val="nil"/>
              <w:left w:val="single" w:sz="4" w:space="0" w:color="auto"/>
              <w:bottom w:val="nil"/>
              <w:right w:val="nil"/>
            </w:tcBorders>
            <w:shd w:val="clear" w:color="auto" w:fill="auto"/>
            <w:noWrap/>
            <w:hideMark/>
          </w:tcPr>
          <w:p w:rsidR="007F1447" w:rsidRPr="00C15775" w:rsidRDefault="007F1447" w:rsidP="008817BA">
            <w:pPr>
              <w:tabs>
                <w:tab w:val="clear" w:pos="284"/>
              </w:tabs>
              <w:jc w:val="center"/>
              <w:rPr>
                <w:rFonts w:ascii="Arial" w:hAnsi="Arial" w:cs="Arial"/>
                <w:color w:val="000000"/>
                <w:sz w:val="20"/>
              </w:rPr>
            </w:pPr>
            <w:r>
              <w:rPr>
                <w:rFonts w:ascii="Arial" w:hAnsi="Arial" w:cs="Arial"/>
                <w:color w:val="000000"/>
                <w:sz w:val="20"/>
              </w:rPr>
              <w:t> </w:t>
            </w:r>
          </w:p>
        </w:tc>
        <w:tc>
          <w:tcPr>
            <w:tcW w:w="1717" w:type="pct"/>
            <w:tcBorders>
              <w:top w:val="nil"/>
              <w:left w:val="single" w:sz="4" w:space="0" w:color="auto"/>
              <w:bottom w:val="nil"/>
              <w:right w:val="single" w:sz="4" w:space="0" w:color="auto"/>
            </w:tcBorders>
            <w:shd w:val="clear" w:color="auto" w:fill="auto"/>
            <w:hideMark/>
          </w:tcPr>
          <w:p w:rsidR="007F1447" w:rsidRPr="00C15775" w:rsidRDefault="007F1447" w:rsidP="008817BA">
            <w:pPr>
              <w:tabs>
                <w:tab w:val="clear" w:pos="284"/>
              </w:tabs>
              <w:rPr>
                <w:rFonts w:ascii="Arial Narrow" w:hAnsi="Arial Narrow" w:cs="Arial"/>
                <w:color w:val="000000"/>
                <w:sz w:val="20"/>
              </w:rPr>
            </w:pPr>
            <w:r>
              <w:rPr>
                <w:rFonts w:ascii="Arial Narrow" w:hAnsi="Arial Narrow" w:cs="Arial"/>
                <w:color w:val="000000"/>
                <w:sz w:val="20"/>
              </w:rPr>
              <w:t>FRITID</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rPr>
                <w:rFonts w:ascii="Arial Narrow" w:hAnsi="Arial Narrow" w:cs="Arial"/>
                <w:color w:val="000000"/>
                <w:sz w:val="20"/>
              </w:rPr>
            </w:pP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481"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433"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375"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391" w:type="pct"/>
            <w:tcBorders>
              <w:top w:val="nil"/>
              <w:left w:val="single" w:sz="4" w:space="0" w:color="auto"/>
              <w:bottom w:val="nil"/>
              <w:right w:val="single" w:sz="4" w:space="0" w:color="auto"/>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C15775" w:rsidTr="008817BA">
        <w:trPr>
          <w:trHeight w:val="255"/>
        </w:trPr>
        <w:tc>
          <w:tcPr>
            <w:tcW w:w="431" w:type="pct"/>
            <w:tcBorders>
              <w:top w:val="nil"/>
              <w:left w:val="single" w:sz="4" w:space="0" w:color="auto"/>
              <w:bottom w:val="nil"/>
              <w:right w:val="nil"/>
            </w:tcBorders>
            <w:shd w:val="clear" w:color="auto" w:fill="auto"/>
            <w:noWrap/>
            <w:hideMark/>
          </w:tcPr>
          <w:p w:rsidR="007F1447" w:rsidRPr="00C15775"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55</w:t>
            </w:r>
          </w:p>
        </w:tc>
        <w:tc>
          <w:tcPr>
            <w:tcW w:w="1717" w:type="pct"/>
            <w:tcBorders>
              <w:top w:val="nil"/>
              <w:left w:val="single" w:sz="4" w:space="0" w:color="auto"/>
              <w:bottom w:val="nil"/>
              <w:right w:val="single" w:sz="4" w:space="0" w:color="auto"/>
            </w:tcBorders>
            <w:shd w:val="clear" w:color="auto" w:fill="auto"/>
            <w:hideMark/>
          </w:tcPr>
          <w:p w:rsidR="007F1447" w:rsidRPr="00C15775" w:rsidRDefault="007F1447" w:rsidP="008817BA">
            <w:pPr>
              <w:tabs>
                <w:tab w:val="clear" w:pos="284"/>
              </w:tabs>
              <w:rPr>
                <w:rFonts w:ascii="Arial Narrow" w:hAnsi="Arial Narrow" w:cs="Arial"/>
                <w:color w:val="000000"/>
                <w:sz w:val="20"/>
              </w:rPr>
            </w:pPr>
            <w:r>
              <w:rPr>
                <w:rFonts w:ascii="Arial Narrow" w:hAnsi="Arial Narrow" w:cs="Arial"/>
                <w:color w:val="000000"/>
                <w:sz w:val="20"/>
              </w:rPr>
              <w:t>BIBLIOTEKSVÆSEN</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949</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8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33"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949</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622</w:t>
            </w:r>
          </w:p>
        </w:tc>
        <w:tc>
          <w:tcPr>
            <w:tcW w:w="375"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327</w:t>
            </w:r>
          </w:p>
        </w:tc>
        <w:tc>
          <w:tcPr>
            <w:tcW w:w="391" w:type="pct"/>
            <w:tcBorders>
              <w:top w:val="nil"/>
              <w:left w:val="single" w:sz="4" w:space="0" w:color="auto"/>
              <w:bottom w:val="nil"/>
              <w:right w:val="single" w:sz="4" w:space="0" w:color="auto"/>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65,6</w:t>
            </w:r>
          </w:p>
        </w:tc>
      </w:tr>
      <w:tr w:rsidR="007F1447" w:rsidRPr="00C15775" w:rsidTr="008817BA">
        <w:trPr>
          <w:trHeight w:val="255"/>
        </w:trPr>
        <w:tc>
          <w:tcPr>
            <w:tcW w:w="431" w:type="pct"/>
            <w:tcBorders>
              <w:top w:val="nil"/>
              <w:left w:val="single" w:sz="4" w:space="0" w:color="auto"/>
              <w:bottom w:val="nil"/>
              <w:right w:val="nil"/>
            </w:tcBorders>
            <w:shd w:val="clear" w:color="auto" w:fill="auto"/>
            <w:noWrap/>
            <w:hideMark/>
          </w:tcPr>
          <w:p w:rsidR="007F1447" w:rsidRPr="00C15775"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56</w:t>
            </w:r>
          </w:p>
        </w:tc>
        <w:tc>
          <w:tcPr>
            <w:tcW w:w="1717" w:type="pct"/>
            <w:tcBorders>
              <w:top w:val="nil"/>
              <w:left w:val="single" w:sz="4" w:space="0" w:color="auto"/>
              <w:bottom w:val="nil"/>
              <w:right w:val="single" w:sz="4" w:space="0" w:color="auto"/>
            </w:tcBorders>
            <w:shd w:val="clear" w:color="auto" w:fill="auto"/>
            <w:hideMark/>
          </w:tcPr>
          <w:p w:rsidR="007F1447" w:rsidRPr="00C15775" w:rsidRDefault="007F1447" w:rsidP="008817BA">
            <w:pPr>
              <w:tabs>
                <w:tab w:val="clear" w:pos="284"/>
              </w:tabs>
              <w:rPr>
                <w:rFonts w:ascii="Arial Narrow" w:hAnsi="Arial Narrow" w:cs="Arial"/>
                <w:color w:val="000000"/>
                <w:sz w:val="20"/>
              </w:rPr>
            </w:pPr>
            <w:r>
              <w:rPr>
                <w:rFonts w:ascii="Arial Narrow" w:hAnsi="Arial Narrow" w:cs="Arial"/>
                <w:color w:val="000000"/>
                <w:sz w:val="20"/>
              </w:rPr>
              <w:t>MUSEUMSVÆSENET</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1.048</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8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33"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1.048</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743</w:t>
            </w:r>
          </w:p>
        </w:tc>
        <w:tc>
          <w:tcPr>
            <w:tcW w:w="375"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305</w:t>
            </w:r>
          </w:p>
        </w:tc>
        <w:tc>
          <w:tcPr>
            <w:tcW w:w="391" w:type="pct"/>
            <w:tcBorders>
              <w:top w:val="nil"/>
              <w:left w:val="single" w:sz="4" w:space="0" w:color="auto"/>
              <w:bottom w:val="nil"/>
              <w:right w:val="single" w:sz="4" w:space="0" w:color="auto"/>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70,9</w:t>
            </w:r>
          </w:p>
        </w:tc>
      </w:tr>
      <w:tr w:rsidR="007F1447" w:rsidRPr="00C15775" w:rsidTr="008817BA">
        <w:trPr>
          <w:trHeight w:val="255"/>
        </w:trPr>
        <w:tc>
          <w:tcPr>
            <w:tcW w:w="431" w:type="pct"/>
            <w:tcBorders>
              <w:top w:val="nil"/>
              <w:left w:val="single" w:sz="4" w:space="0" w:color="auto"/>
              <w:bottom w:val="nil"/>
              <w:right w:val="nil"/>
            </w:tcBorders>
            <w:shd w:val="clear" w:color="auto" w:fill="auto"/>
            <w:noWrap/>
            <w:hideMark/>
          </w:tcPr>
          <w:p w:rsidR="007F1447" w:rsidRPr="00C15775"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59</w:t>
            </w:r>
          </w:p>
        </w:tc>
        <w:tc>
          <w:tcPr>
            <w:tcW w:w="1717" w:type="pct"/>
            <w:tcBorders>
              <w:top w:val="nil"/>
              <w:left w:val="single" w:sz="4" w:space="0" w:color="auto"/>
              <w:bottom w:val="nil"/>
              <w:right w:val="single" w:sz="4" w:space="0" w:color="auto"/>
            </w:tcBorders>
            <w:shd w:val="clear" w:color="auto" w:fill="auto"/>
            <w:hideMark/>
          </w:tcPr>
          <w:p w:rsidR="007F1447" w:rsidRPr="00C15775" w:rsidRDefault="007F1447" w:rsidP="008817BA">
            <w:pPr>
              <w:tabs>
                <w:tab w:val="clear" w:pos="284"/>
              </w:tabs>
              <w:rPr>
                <w:rFonts w:ascii="Arial Narrow" w:hAnsi="Arial Narrow" w:cs="Arial"/>
                <w:color w:val="000000"/>
                <w:sz w:val="20"/>
              </w:rPr>
            </w:pPr>
            <w:r>
              <w:rPr>
                <w:rFonts w:ascii="Arial Narrow" w:hAnsi="Arial Narrow" w:cs="Arial"/>
                <w:color w:val="000000"/>
                <w:sz w:val="20"/>
              </w:rPr>
              <w:t xml:space="preserve">FORSKELLIGE KULTURELLE OG  </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3.286</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8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33"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3.286</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2.853</w:t>
            </w:r>
          </w:p>
        </w:tc>
        <w:tc>
          <w:tcPr>
            <w:tcW w:w="375"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433</w:t>
            </w:r>
          </w:p>
        </w:tc>
        <w:tc>
          <w:tcPr>
            <w:tcW w:w="391" w:type="pct"/>
            <w:tcBorders>
              <w:top w:val="nil"/>
              <w:left w:val="single" w:sz="4" w:space="0" w:color="auto"/>
              <w:bottom w:val="nil"/>
              <w:right w:val="single" w:sz="4" w:space="0" w:color="auto"/>
            </w:tcBorders>
            <w:shd w:val="clear" w:color="auto" w:fill="auto"/>
            <w:noWrap/>
            <w:hideMark/>
          </w:tcPr>
          <w:p w:rsidR="007F1447" w:rsidRPr="00C15775"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86,8</w:t>
            </w:r>
          </w:p>
        </w:tc>
      </w:tr>
      <w:tr w:rsidR="007F1447" w:rsidRPr="00C15775" w:rsidTr="008817BA">
        <w:trPr>
          <w:trHeight w:val="255"/>
        </w:trPr>
        <w:tc>
          <w:tcPr>
            <w:tcW w:w="431" w:type="pct"/>
            <w:tcBorders>
              <w:top w:val="nil"/>
              <w:left w:val="single" w:sz="4" w:space="0" w:color="auto"/>
              <w:bottom w:val="nil"/>
              <w:right w:val="nil"/>
            </w:tcBorders>
            <w:shd w:val="clear" w:color="auto" w:fill="auto"/>
            <w:noWrap/>
            <w:hideMark/>
          </w:tcPr>
          <w:p w:rsidR="007F1447" w:rsidRPr="00C15775" w:rsidRDefault="007F1447" w:rsidP="008817BA">
            <w:pPr>
              <w:tabs>
                <w:tab w:val="clear" w:pos="284"/>
              </w:tabs>
              <w:jc w:val="center"/>
              <w:rPr>
                <w:rFonts w:ascii="Arial" w:hAnsi="Arial" w:cs="Arial"/>
                <w:color w:val="000000"/>
                <w:sz w:val="20"/>
              </w:rPr>
            </w:pPr>
            <w:r>
              <w:rPr>
                <w:rFonts w:ascii="Arial" w:hAnsi="Arial" w:cs="Arial"/>
                <w:color w:val="000000"/>
                <w:sz w:val="20"/>
              </w:rPr>
              <w:t> </w:t>
            </w:r>
          </w:p>
        </w:tc>
        <w:tc>
          <w:tcPr>
            <w:tcW w:w="1717" w:type="pct"/>
            <w:tcBorders>
              <w:top w:val="nil"/>
              <w:left w:val="single" w:sz="4" w:space="0" w:color="auto"/>
              <w:bottom w:val="nil"/>
              <w:right w:val="single" w:sz="4" w:space="0" w:color="auto"/>
            </w:tcBorders>
            <w:shd w:val="clear" w:color="auto" w:fill="auto"/>
            <w:hideMark/>
          </w:tcPr>
          <w:p w:rsidR="007F1447" w:rsidRPr="00C15775" w:rsidRDefault="007F1447" w:rsidP="008817BA">
            <w:pPr>
              <w:tabs>
                <w:tab w:val="clear" w:pos="284"/>
              </w:tabs>
              <w:rPr>
                <w:rFonts w:ascii="Arial Narrow" w:hAnsi="Arial Narrow" w:cs="Arial"/>
                <w:color w:val="000000"/>
                <w:sz w:val="20"/>
              </w:rPr>
            </w:pPr>
            <w:r>
              <w:rPr>
                <w:rFonts w:ascii="Arial Narrow" w:hAnsi="Arial Narrow" w:cs="Arial"/>
                <w:color w:val="000000"/>
                <w:sz w:val="20"/>
              </w:rPr>
              <w:t>FOLKEOPLYSNINGER</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rPr>
                <w:rFonts w:ascii="Arial Narrow" w:hAnsi="Arial Narrow" w:cs="Arial"/>
                <w:color w:val="000000"/>
                <w:sz w:val="20"/>
              </w:rPr>
            </w:pP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481"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433"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375" w:type="pct"/>
            <w:tcBorders>
              <w:top w:val="nil"/>
              <w:left w:val="nil"/>
              <w:bottom w:val="nil"/>
              <w:right w:val="nil"/>
            </w:tcBorders>
            <w:shd w:val="clear" w:color="auto" w:fill="auto"/>
            <w:noWrap/>
            <w:hideMark/>
          </w:tcPr>
          <w:p w:rsidR="007F1447" w:rsidRPr="00C15775" w:rsidRDefault="007F1447" w:rsidP="008817BA">
            <w:pPr>
              <w:tabs>
                <w:tab w:val="clear" w:pos="284"/>
              </w:tabs>
              <w:rPr>
                <w:sz w:val="20"/>
              </w:rPr>
            </w:pPr>
          </w:p>
        </w:tc>
        <w:tc>
          <w:tcPr>
            <w:tcW w:w="391" w:type="pct"/>
            <w:tcBorders>
              <w:top w:val="nil"/>
              <w:left w:val="single" w:sz="4" w:space="0" w:color="auto"/>
              <w:bottom w:val="nil"/>
              <w:right w:val="single" w:sz="4" w:space="0" w:color="auto"/>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C15775" w:rsidTr="008817BA">
        <w:trPr>
          <w:trHeight w:val="255"/>
        </w:trPr>
        <w:tc>
          <w:tcPr>
            <w:tcW w:w="431" w:type="pct"/>
            <w:tcBorders>
              <w:top w:val="single" w:sz="4" w:space="0" w:color="auto"/>
              <w:left w:val="single" w:sz="4" w:space="0" w:color="auto"/>
              <w:bottom w:val="nil"/>
              <w:right w:val="nil"/>
            </w:tcBorders>
            <w:shd w:val="clear" w:color="auto" w:fill="auto"/>
            <w:noWrap/>
            <w:hideMark/>
          </w:tcPr>
          <w:p w:rsidR="007F1447" w:rsidRPr="00C15775" w:rsidRDefault="007F1447" w:rsidP="008817BA">
            <w:pPr>
              <w:tabs>
                <w:tab w:val="clear" w:pos="284"/>
              </w:tabs>
              <w:jc w:val="center"/>
              <w:rPr>
                <w:rFonts w:ascii="Arial" w:hAnsi="Arial" w:cs="Arial"/>
                <w:color w:val="000000"/>
                <w:sz w:val="20"/>
              </w:rPr>
            </w:pPr>
            <w:r>
              <w:rPr>
                <w:rFonts w:ascii="Arial" w:hAnsi="Arial" w:cs="Arial"/>
                <w:color w:val="000000"/>
                <w:sz w:val="20"/>
              </w:rPr>
              <w:t> </w:t>
            </w:r>
          </w:p>
        </w:tc>
        <w:tc>
          <w:tcPr>
            <w:tcW w:w="1717" w:type="pct"/>
            <w:tcBorders>
              <w:top w:val="single" w:sz="4" w:space="0" w:color="auto"/>
              <w:left w:val="single" w:sz="4" w:space="0" w:color="auto"/>
              <w:bottom w:val="nil"/>
              <w:right w:val="single" w:sz="4" w:space="0" w:color="auto"/>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1" w:type="pct"/>
            <w:tcBorders>
              <w:top w:val="single" w:sz="4" w:space="0" w:color="auto"/>
              <w:left w:val="nil"/>
              <w:bottom w:val="nil"/>
              <w:right w:val="nil"/>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1" w:type="pct"/>
            <w:tcBorders>
              <w:top w:val="single" w:sz="4" w:space="0" w:color="auto"/>
              <w:left w:val="nil"/>
              <w:bottom w:val="nil"/>
              <w:right w:val="nil"/>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81" w:type="pct"/>
            <w:tcBorders>
              <w:top w:val="single" w:sz="4" w:space="0" w:color="auto"/>
              <w:left w:val="nil"/>
              <w:bottom w:val="nil"/>
              <w:right w:val="nil"/>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33" w:type="pct"/>
            <w:tcBorders>
              <w:top w:val="single" w:sz="4" w:space="0" w:color="auto"/>
              <w:left w:val="nil"/>
              <w:bottom w:val="nil"/>
              <w:right w:val="nil"/>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1" w:type="pct"/>
            <w:tcBorders>
              <w:top w:val="single" w:sz="4" w:space="0" w:color="auto"/>
              <w:left w:val="nil"/>
              <w:bottom w:val="nil"/>
              <w:right w:val="nil"/>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75" w:type="pct"/>
            <w:tcBorders>
              <w:top w:val="single" w:sz="4" w:space="0" w:color="auto"/>
              <w:left w:val="nil"/>
              <w:bottom w:val="nil"/>
              <w:right w:val="nil"/>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1" w:type="pct"/>
            <w:tcBorders>
              <w:top w:val="single" w:sz="4" w:space="0" w:color="auto"/>
              <w:left w:val="single" w:sz="4" w:space="0" w:color="auto"/>
              <w:bottom w:val="nil"/>
              <w:right w:val="single" w:sz="4" w:space="0" w:color="auto"/>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C15775" w:rsidTr="008817BA">
        <w:trPr>
          <w:trHeight w:val="255"/>
        </w:trPr>
        <w:tc>
          <w:tcPr>
            <w:tcW w:w="431" w:type="pct"/>
            <w:tcBorders>
              <w:top w:val="nil"/>
              <w:left w:val="single" w:sz="4" w:space="0" w:color="auto"/>
              <w:bottom w:val="nil"/>
              <w:right w:val="nil"/>
            </w:tcBorders>
            <w:shd w:val="clear" w:color="auto" w:fill="auto"/>
            <w:noWrap/>
            <w:hideMark/>
          </w:tcPr>
          <w:p w:rsidR="007F1447" w:rsidRPr="00C15775"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5</w:t>
            </w:r>
          </w:p>
        </w:tc>
        <w:tc>
          <w:tcPr>
            <w:tcW w:w="1717" w:type="pct"/>
            <w:tcBorders>
              <w:top w:val="nil"/>
              <w:left w:val="single" w:sz="4" w:space="0" w:color="auto"/>
              <w:bottom w:val="nil"/>
              <w:right w:val="single" w:sz="4" w:space="0" w:color="auto"/>
            </w:tcBorders>
            <w:shd w:val="clear" w:color="auto" w:fill="auto"/>
            <w:noWrap/>
            <w:hideMark/>
          </w:tcPr>
          <w:p w:rsidR="007F1447" w:rsidRPr="00C15775"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UNDERVISNING OG KULTUR</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82.632</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0</w:t>
            </w:r>
          </w:p>
        </w:tc>
        <w:tc>
          <w:tcPr>
            <w:tcW w:w="48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0</w:t>
            </w:r>
          </w:p>
        </w:tc>
        <w:tc>
          <w:tcPr>
            <w:tcW w:w="433"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82.632</w:t>
            </w:r>
          </w:p>
        </w:tc>
        <w:tc>
          <w:tcPr>
            <w:tcW w:w="391"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60.295</w:t>
            </w:r>
          </w:p>
        </w:tc>
        <w:tc>
          <w:tcPr>
            <w:tcW w:w="375" w:type="pct"/>
            <w:tcBorders>
              <w:top w:val="nil"/>
              <w:left w:val="nil"/>
              <w:bottom w:val="nil"/>
              <w:right w:val="nil"/>
            </w:tcBorders>
            <w:shd w:val="clear" w:color="auto" w:fill="auto"/>
            <w:noWrap/>
            <w:hideMark/>
          </w:tcPr>
          <w:p w:rsidR="007F1447" w:rsidRPr="00C15775"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22.337</w:t>
            </w:r>
          </w:p>
        </w:tc>
        <w:tc>
          <w:tcPr>
            <w:tcW w:w="391" w:type="pct"/>
            <w:tcBorders>
              <w:top w:val="nil"/>
              <w:left w:val="single" w:sz="4" w:space="0" w:color="auto"/>
              <w:bottom w:val="nil"/>
              <w:right w:val="single" w:sz="4" w:space="0" w:color="auto"/>
            </w:tcBorders>
            <w:shd w:val="clear" w:color="auto" w:fill="auto"/>
            <w:noWrap/>
            <w:hideMark/>
          </w:tcPr>
          <w:p w:rsidR="007F1447" w:rsidRPr="00C15775"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73,0</w:t>
            </w:r>
          </w:p>
        </w:tc>
      </w:tr>
      <w:tr w:rsidR="007F1447" w:rsidRPr="00C15775" w:rsidTr="008817BA">
        <w:trPr>
          <w:trHeight w:val="255"/>
        </w:trPr>
        <w:tc>
          <w:tcPr>
            <w:tcW w:w="431" w:type="pct"/>
            <w:tcBorders>
              <w:top w:val="nil"/>
              <w:left w:val="single" w:sz="4" w:space="0" w:color="auto"/>
              <w:bottom w:val="single" w:sz="4" w:space="0" w:color="auto"/>
              <w:right w:val="nil"/>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1717" w:type="pct"/>
            <w:tcBorders>
              <w:top w:val="nil"/>
              <w:left w:val="single" w:sz="4" w:space="0" w:color="auto"/>
              <w:bottom w:val="single" w:sz="4" w:space="0" w:color="auto"/>
              <w:right w:val="single" w:sz="4" w:space="0" w:color="auto"/>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1" w:type="pct"/>
            <w:tcBorders>
              <w:top w:val="nil"/>
              <w:left w:val="nil"/>
              <w:bottom w:val="single" w:sz="4" w:space="0" w:color="auto"/>
              <w:right w:val="nil"/>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1" w:type="pct"/>
            <w:tcBorders>
              <w:top w:val="nil"/>
              <w:left w:val="nil"/>
              <w:bottom w:val="single" w:sz="4" w:space="0" w:color="auto"/>
              <w:right w:val="nil"/>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81" w:type="pct"/>
            <w:tcBorders>
              <w:top w:val="nil"/>
              <w:left w:val="nil"/>
              <w:bottom w:val="single" w:sz="4" w:space="0" w:color="auto"/>
              <w:right w:val="nil"/>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33" w:type="pct"/>
            <w:tcBorders>
              <w:top w:val="nil"/>
              <w:left w:val="nil"/>
              <w:bottom w:val="single" w:sz="4" w:space="0" w:color="auto"/>
              <w:right w:val="nil"/>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1" w:type="pct"/>
            <w:tcBorders>
              <w:top w:val="nil"/>
              <w:left w:val="nil"/>
              <w:bottom w:val="single" w:sz="4" w:space="0" w:color="auto"/>
              <w:right w:val="nil"/>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75" w:type="pct"/>
            <w:tcBorders>
              <w:top w:val="nil"/>
              <w:left w:val="nil"/>
              <w:bottom w:val="single" w:sz="4" w:space="0" w:color="auto"/>
              <w:right w:val="nil"/>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1" w:type="pct"/>
            <w:tcBorders>
              <w:top w:val="nil"/>
              <w:left w:val="single" w:sz="4" w:space="0" w:color="auto"/>
              <w:bottom w:val="single" w:sz="4" w:space="0" w:color="auto"/>
              <w:right w:val="single" w:sz="4" w:space="0" w:color="auto"/>
            </w:tcBorders>
            <w:shd w:val="clear" w:color="auto" w:fill="auto"/>
            <w:noWrap/>
            <w:hideMark/>
          </w:tcPr>
          <w:p w:rsidR="007F1447" w:rsidRPr="00C15775" w:rsidRDefault="007F1447" w:rsidP="008817BA">
            <w:pPr>
              <w:tabs>
                <w:tab w:val="clear" w:pos="284"/>
              </w:tabs>
              <w:rPr>
                <w:rFonts w:ascii="Arial" w:hAnsi="Arial" w:cs="Arial"/>
                <w:color w:val="000000"/>
                <w:sz w:val="20"/>
              </w:rPr>
            </w:pPr>
            <w:r>
              <w:rPr>
                <w:rFonts w:ascii="Arial" w:hAnsi="Arial" w:cs="Arial"/>
                <w:color w:val="000000"/>
                <w:sz w:val="20"/>
              </w:rPr>
              <w:t> </w:t>
            </w:r>
          </w:p>
        </w:tc>
      </w:tr>
    </w:tbl>
    <w:p w:rsidR="007F1447" w:rsidRPr="00490CE0" w:rsidRDefault="007F1447" w:rsidP="007F1447">
      <w:pPr>
        <w:tabs>
          <w:tab w:val="clear" w:pos="284"/>
        </w:tabs>
        <w:rPr>
          <w:lang w:val="kl-GL"/>
        </w:rPr>
      </w:pPr>
    </w:p>
    <w:p w:rsidR="007F1447" w:rsidRPr="00490CE0" w:rsidRDefault="007F1447" w:rsidP="007F1447">
      <w:pPr>
        <w:tabs>
          <w:tab w:val="clear" w:pos="284"/>
        </w:tabs>
        <w:rPr>
          <w:szCs w:val="24"/>
          <w:lang w:val="kl-GL"/>
        </w:rPr>
      </w:pPr>
      <w:r>
        <w:rPr>
          <w:szCs w:val="24"/>
        </w:rPr>
        <w:t>Uddannelse og kultur i Maniitsoq har et forbrug på kr. 60.295 mio. ud af en bevilling på kr. 82.632 mio. Det svarer til et forbrug på 73,0 %.</w:t>
      </w:r>
    </w:p>
    <w:p w:rsidR="007F1447" w:rsidRPr="00490CE0" w:rsidRDefault="007F1447" w:rsidP="007F1447">
      <w:pPr>
        <w:tabs>
          <w:tab w:val="clear" w:pos="284"/>
        </w:tabs>
        <w:rPr>
          <w:szCs w:val="24"/>
          <w:lang w:val="kl-GL"/>
        </w:rPr>
      </w:pPr>
    </w:p>
    <w:p w:rsidR="007F1447" w:rsidRDefault="007F1447">
      <w:pPr>
        <w:tabs>
          <w:tab w:val="clear" w:pos="284"/>
        </w:tabs>
        <w:spacing w:after="160" w:line="259" w:lineRule="auto"/>
        <w:rPr>
          <w:b/>
          <w:szCs w:val="24"/>
        </w:rPr>
      </w:pPr>
      <w:r>
        <w:rPr>
          <w:b/>
          <w:szCs w:val="24"/>
        </w:rPr>
        <w:br w:type="page"/>
      </w:r>
    </w:p>
    <w:p w:rsidR="007F1447" w:rsidRPr="00490CE0" w:rsidRDefault="007F1447" w:rsidP="007F1447">
      <w:pPr>
        <w:tabs>
          <w:tab w:val="clear" w:pos="284"/>
        </w:tabs>
        <w:rPr>
          <w:b/>
          <w:szCs w:val="24"/>
          <w:lang w:val="kl-GL"/>
        </w:rPr>
      </w:pPr>
      <w:r>
        <w:rPr>
          <w:b/>
          <w:szCs w:val="24"/>
        </w:rPr>
        <w:lastRenderedPageBreak/>
        <w:t>Konto 50 Daginstitutioner Maniitsoq + Bygder.</w:t>
      </w:r>
    </w:p>
    <w:tbl>
      <w:tblPr>
        <w:tblW w:w="5000" w:type="pct"/>
        <w:tblCellMar>
          <w:left w:w="70" w:type="dxa"/>
          <w:right w:w="70" w:type="dxa"/>
        </w:tblCellMar>
        <w:tblLook w:val="04A0" w:firstRow="1" w:lastRow="0" w:firstColumn="1" w:lastColumn="0" w:noHBand="0" w:noVBand="1"/>
      </w:tblPr>
      <w:tblGrid>
        <w:gridCol w:w="709"/>
        <w:gridCol w:w="3939"/>
        <w:gridCol w:w="697"/>
        <w:gridCol w:w="617"/>
        <w:gridCol w:w="779"/>
        <w:gridCol w:w="814"/>
        <w:gridCol w:w="760"/>
        <w:gridCol w:w="553"/>
        <w:gridCol w:w="760"/>
      </w:tblGrid>
      <w:tr w:rsidR="007F1447" w:rsidRPr="00C6003F" w:rsidTr="008817BA">
        <w:trPr>
          <w:trHeight w:val="255"/>
        </w:trPr>
        <w:tc>
          <w:tcPr>
            <w:tcW w:w="436" w:type="pct"/>
            <w:tcBorders>
              <w:top w:val="single" w:sz="4" w:space="0" w:color="auto"/>
              <w:left w:val="single" w:sz="4" w:space="0" w:color="auto"/>
              <w:bottom w:val="nil"/>
              <w:right w:val="nil"/>
            </w:tcBorders>
            <w:shd w:val="clear" w:color="000000" w:fill="D9D9D9"/>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c>
          <w:tcPr>
            <w:tcW w:w="1682" w:type="pct"/>
            <w:tcBorders>
              <w:top w:val="single" w:sz="4" w:space="0" w:color="auto"/>
              <w:left w:val="single" w:sz="4" w:space="0" w:color="auto"/>
              <w:bottom w:val="nil"/>
              <w:right w:val="single" w:sz="4" w:space="0" w:color="auto"/>
            </w:tcBorders>
            <w:shd w:val="clear" w:color="000000" w:fill="D9D9D9"/>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5" w:type="pct"/>
            <w:tcBorders>
              <w:top w:val="single" w:sz="4" w:space="0" w:color="auto"/>
              <w:left w:val="nil"/>
              <w:bottom w:val="nil"/>
              <w:right w:val="nil"/>
            </w:tcBorders>
            <w:shd w:val="clear" w:color="000000" w:fill="D9D9D9"/>
            <w:noWrap/>
            <w:hideMark/>
          </w:tcPr>
          <w:p w:rsidR="007F1447" w:rsidRPr="00C6003F"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Budget</w:t>
            </w:r>
          </w:p>
        </w:tc>
        <w:tc>
          <w:tcPr>
            <w:tcW w:w="395" w:type="pct"/>
            <w:tcBorders>
              <w:top w:val="single" w:sz="4" w:space="0" w:color="auto"/>
              <w:left w:val="nil"/>
              <w:bottom w:val="nil"/>
              <w:right w:val="nil"/>
            </w:tcBorders>
            <w:shd w:val="clear" w:color="000000" w:fill="D9D9D9"/>
            <w:noWrap/>
            <w:hideMark/>
          </w:tcPr>
          <w:p w:rsidR="007F1447" w:rsidRPr="00C6003F"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Tillæg</w:t>
            </w:r>
          </w:p>
        </w:tc>
        <w:tc>
          <w:tcPr>
            <w:tcW w:w="486" w:type="pct"/>
            <w:tcBorders>
              <w:top w:val="single" w:sz="4" w:space="0" w:color="auto"/>
              <w:left w:val="nil"/>
              <w:bottom w:val="nil"/>
              <w:right w:val="nil"/>
            </w:tcBorders>
            <w:shd w:val="clear" w:color="000000" w:fill="D9D9D9"/>
            <w:noWrap/>
            <w:hideMark/>
          </w:tcPr>
          <w:p w:rsidR="007F1447" w:rsidRPr="00C6003F" w:rsidRDefault="007F1447" w:rsidP="008817BA">
            <w:pPr>
              <w:tabs>
                <w:tab w:val="clear" w:pos="284"/>
              </w:tabs>
              <w:jc w:val="center"/>
              <w:rPr>
                <w:rFonts w:ascii="Arial Narrow" w:hAnsi="Arial Narrow" w:cs="Arial"/>
                <w:b/>
                <w:bCs/>
                <w:color w:val="000000"/>
                <w:sz w:val="20"/>
              </w:rPr>
            </w:pPr>
            <w:proofErr w:type="spellStart"/>
            <w:r>
              <w:rPr>
                <w:rFonts w:ascii="Arial Narrow" w:hAnsi="Arial Narrow" w:cs="Arial"/>
                <w:b/>
                <w:bCs/>
                <w:color w:val="000000"/>
                <w:sz w:val="20"/>
              </w:rPr>
              <w:t>Omplac</w:t>
            </w:r>
            <w:proofErr w:type="spellEnd"/>
            <w:r>
              <w:rPr>
                <w:rFonts w:ascii="Arial Narrow" w:hAnsi="Arial Narrow" w:cs="Arial"/>
                <w:b/>
                <w:bCs/>
                <w:color w:val="000000"/>
                <w:sz w:val="20"/>
              </w:rPr>
              <w:t>.</w:t>
            </w:r>
          </w:p>
        </w:tc>
        <w:tc>
          <w:tcPr>
            <w:tcW w:w="438" w:type="pct"/>
            <w:tcBorders>
              <w:top w:val="single" w:sz="4" w:space="0" w:color="auto"/>
              <w:left w:val="nil"/>
              <w:bottom w:val="nil"/>
              <w:right w:val="nil"/>
            </w:tcBorders>
            <w:shd w:val="clear" w:color="000000" w:fill="D9D9D9"/>
            <w:noWrap/>
            <w:hideMark/>
          </w:tcPr>
          <w:p w:rsidR="007F1447" w:rsidRPr="00C6003F"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Bevilling</w:t>
            </w:r>
          </w:p>
        </w:tc>
        <w:tc>
          <w:tcPr>
            <w:tcW w:w="395" w:type="pct"/>
            <w:tcBorders>
              <w:top w:val="single" w:sz="4" w:space="0" w:color="auto"/>
              <w:left w:val="nil"/>
              <w:bottom w:val="nil"/>
              <w:right w:val="nil"/>
            </w:tcBorders>
            <w:shd w:val="clear" w:color="000000" w:fill="D9D9D9"/>
            <w:noWrap/>
            <w:hideMark/>
          </w:tcPr>
          <w:p w:rsidR="007F1447" w:rsidRPr="00C6003F"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Forbrug</w:t>
            </w:r>
          </w:p>
        </w:tc>
        <w:tc>
          <w:tcPr>
            <w:tcW w:w="379" w:type="pct"/>
            <w:tcBorders>
              <w:top w:val="single" w:sz="4" w:space="0" w:color="auto"/>
              <w:left w:val="nil"/>
              <w:bottom w:val="nil"/>
              <w:right w:val="nil"/>
            </w:tcBorders>
            <w:shd w:val="clear" w:color="000000" w:fill="D9D9D9"/>
            <w:noWrap/>
            <w:hideMark/>
          </w:tcPr>
          <w:p w:rsidR="007F1447" w:rsidRPr="00C6003F"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Rest</w:t>
            </w:r>
          </w:p>
        </w:tc>
        <w:tc>
          <w:tcPr>
            <w:tcW w:w="395" w:type="pct"/>
            <w:tcBorders>
              <w:top w:val="single" w:sz="4" w:space="0" w:color="auto"/>
              <w:left w:val="single" w:sz="4" w:space="0" w:color="auto"/>
              <w:bottom w:val="nil"/>
              <w:right w:val="single" w:sz="4" w:space="0" w:color="auto"/>
            </w:tcBorders>
            <w:shd w:val="clear" w:color="000000" w:fill="D9D9D9"/>
            <w:noWrap/>
            <w:hideMark/>
          </w:tcPr>
          <w:p w:rsidR="007F1447" w:rsidRPr="00C6003F"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Forbrug</w:t>
            </w:r>
          </w:p>
        </w:tc>
      </w:tr>
      <w:tr w:rsidR="007F1447" w:rsidRPr="00C6003F" w:rsidTr="008817BA">
        <w:trPr>
          <w:trHeight w:val="270"/>
        </w:trPr>
        <w:tc>
          <w:tcPr>
            <w:tcW w:w="436" w:type="pct"/>
            <w:tcBorders>
              <w:top w:val="nil"/>
              <w:left w:val="single" w:sz="4" w:space="0" w:color="auto"/>
              <w:bottom w:val="single" w:sz="4" w:space="0" w:color="auto"/>
              <w:right w:val="nil"/>
            </w:tcBorders>
            <w:shd w:val="clear" w:color="000000" w:fill="D9D9D9"/>
            <w:noWrap/>
            <w:hideMark/>
          </w:tcPr>
          <w:p w:rsidR="007F1447" w:rsidRPr="00C6003F" w:rsidRDefault="007F1447" w:rsidP="008817BA">
            <w:pPr>
              <w:tabs>
                <w:tab w:val="clear" w:pos="284"/>
              </w:tabs>
              <w:rPr>
                <w:rFonts w:ascii="Arial" w:hAnsi="Arial" w:cs="Arial"/>
                <w:b/>
                <w:bCs/>
                <w:color w:val="000000"/>
                <w:sz w:val="20"/>
              </w:rPr>
            </w:pPr>
            <w:r>
              <w:rPr>
                <w:rFonts w:ascii="Arial" w:hAnsi="Arial" w:cs="Arial"/>
                <w:b/>
                <w:bCs/>
                <w:color w:val="000000"/>
                <w:sz w:val="20"/>
              </w:rPr>
              <w:t>Konto</w:t>
            </w:r>
          </w:p>
        </w:tc>
        <w:tc>
          <w:tcPr>
            <w:tcW w:w="1682" w:type="pct"/>
            <w:tcBorders>
              <w:top w:val="nil"/>
              <w:left w:val="single" w:sz="4" w:space="0" w:color="auto"/>
              <w:bottom w:val="single" w:sz="4" w:space="0" w:color="auto"/>
              <w:right w:val="single" w:sz="4" w:space="0" w:color="auto"/>
            </w:tcBorders>
            <w:shd w:val="clear" w:color="000000" w:fill="D9D9D9"/>
            <w:noWrap/>
            <w:hideMark/>
          </w:tcPr>
          <w:p w:rsidR="007F1447" w:rsidRPr="00C6003F" w:rsidRDefault="007F1447" w:rsidP="008817BA">
            <w:pPr>
              <w:tabs>
                <w:tab w:val="clear" w:pos="284"/>
              </w:tabs>
              <w:rPr>
                <w:rFonts w:ascii="Arial" w:hAnsi="Arial" w:cs="Arial"/>
                <w:b/>
                <w:bCs/>
                <w:color w:val="000000"/>
                <w:sz w:val="20"/>
              </w:rPr>
            </w:pPr>
            <w:r>
              <w:rPr>
                <w:rFonts w:ascii="Arial" w:hAnsi="Arial" w:cs="Arial"/>
                <w:b/>
                <w:bCs/>
                <w:color w:val="000000"/>
                <w:sz w:val="20"/>
              </w:rPr>
              <w:t>Kontonavn</w:t>
            </w:r>
          </w:p>
        </w:tc>
        <w:tc>
          <w:tcPr>
            <w:tcW w:w="395" w:type="pct"/>
            <w:tcBorders>
              <w:top w:val="nil"/>
              <w:left w:val="nil"/>
              <w:bottom w:val="single" w:sz="4" w:space="0" w:color="auto"/>
              <w:right w:val="nil"/>
            </w:tcBorders>
            <w:shd w:val="clear" w:color="000000" w:fill="D9D9D9"/>
            <w:hideMark/>
          </w:tcPr>
          <w:p w:rsidR="007F1447" w:rsidRPr="00C6003F"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395" w:type="pct"/>
            <w:tcBorders>
              <w:top w:val="nil"/>
              <w:left w:val="nil"/>
              <w:bottom w:val="single" w:sz="4" w:space="0" w:color="auto"/>
              <w:right w:val="nil"/>
            </w:tcBorders>
            <w:shd w:val="clear" w:color="000000" w:fill="D9D9D9"/>
            <w:hideMark/>
          </w:tcPr>
          <w:p w:rsidR="007F1447" w:rsidRPr="00C6003F"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86" w:type="pct"/>
            <w:tcBorders>
              <w:top w:val="nil"/>
              <w:left w:val="nil"/>
              <w:bottom w:val="single" w:sz="4" w:space="0" w:color="auto"/>
              <w:right w:val="nil"/>
            </w:tcBorders>
            <w:shd w:val="clear" w:color="000000" w:fill="D9D9D9"/>
            <w:hideMark/>
          </w:tcPr>
          <w:p w:rsidR="007F1447" w:rsidRPr="00C6003F"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38" w:type="pct"/>
            <w:tcBorders>
              <w:top w:val="nil"/>
              <w:left w:val="nil"/>
              <w:bottom w:val="single" w:sz="4" w:space="0" w:color="auto"/>
              <w:right w:val="nil"/>
            </w:tcBorders>
            <w:shd w:val="clear" w:color="000000" w:fill="D9D9D9"/>
            <w:hideMark/>
          </w:tcPr>
          <w:p w:rsidR="007F1447" w:rsidRPr="00C6003F"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395" w:type="pct"/>
            <w:tcBorders>
              <w:top w:val="nil"/>
              <w:left w:val="nil"/>
              <w:bottom w:val="single" w:sz="4" w:space="0" w:color="auto"/>
              <w:right w:val="nil"/>
            </w:tcBorders>
            <w:shd w:val="clear" w:color="000000" w:fill="D9D9D9"/>
            <w:hideMark/>
          </w:tcPr>
          <w:p w:rsidR="007F1447" w:rsidRPr="00C6003F"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379" w:type="pct"/>
            <w:tcBorders>
              <w:top w:val="nil"/>
              <w:left w:val="nil"/>
              <w:bottom w:val="single" w:sz="4" w:space="0" w:color="auto"/>
              <w:right w:val="nil"/>
            </w:tcBorders>
            <w:shd w:val="clear" w:color="000000" w:fill="D9D9D9"/>
            <w:hideMark/>
          </w:tcPr>
          <w:p w:rsidR="007F1447" w:rsidRPr="00C6003F"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395" w:type="pct"/>
            <w:tcBorders>
              <w:top w:val="nil"/>
              <w:left w:val="single" w:sz="4" w:space="0" w:color="auto"/>
              <w:bottom w:val="single" w:sz="4" w:space="0" w:color="auto"/>
              <w:right w:val="single" w:sz="4" w:space="0" w:color="auto"/>
            </w:tcBorders>
            <w:shd w:val="clear" w:color="000000" w:fill="D9D9D9"/>
            <w:noWrap/>
            <w:hideMark/>
          </w:tcPr>
          <w:p w:rsidR="007F1447" w:rsidRPr="00C6003F"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i %</w:t>
            </w:r>
          </w:p>
        </w:tc>
      </w:tr>
      <w:tr w:rsidR="007F1447" w:rsidRPr="00C6003F" w:rsidTr="008817BA">
        <w:trPr>
          <w:trHeight w:val="255"/>
        </w:trPr>
        <w:tc>
          <w:tcPr>
            <w:tcW w:w="436" w:type="pct"/>
            <w:tcBorders>
              <w:top w:val="nil"/>
              <w:left w:val="single" w:sz="4" w:space="0" w:color="auto"/>
              <w:bottom w:val="nil"/>
              <w:right w:val="nil"/>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c>
          <w:tcPr>
            <w:tcW w:w="1682" w:type="pct"/>
            <w:tcBorders>
              <w:top w:val="nil"/>
              <w:left w:val="single" w:sz="4" w:space="0" w:color="auto"/>
              <w:bottom w:val="nil"/>
              <w:right w:val="single" w:sz="4" w:space="0" w:color="auto"/>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rPr>
                <w:rFonts w:ascii="Arial" w:hAnsi="Arial" w:cs="Arial"/>
                <w:color w:val="000000"/>
                <w:sz w:val="20"/>
              </w:rPr>
            </w:pP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486"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438"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379"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395" w:type="pct"/>
            <w:tcBorders>
              <w:top w:val="nil"/>
              <w:left w:val="single" w:sz="4" w:space="0" w:color="auto"/>
              <w:bottom w:val="nil"/>
              <w:right w:val="single" w:sz="4" w:space="0" w:color="auto"/>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C6003F" w:rsidTr="008817BA">
        <w:trPr>
          <w:trHeight w:val="255"/>
        </w:trPr>
        <w:tc>
          <w:tcPr>
            <w:tcW w:w="436" w:type="pct"/>
            <w:tcBorders>
              <w:top w:val="nil"/>
              <w:left w:val="single" w:sz="4" w:space="0" w:color="auto"/>
              <w:bottom w:val="nil"/>
              <w:right w:val="nil"/>
            </w:tcBorders>
            <w:shd w:val="clear" w:color="auto" w:fill="auto"/>
            <w:noWrap/>
            <w:hideMark/>
          </w:tcPr>
          <w:p w:rsidR="007F1447" w:rsidRPr="00C6003F"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50</w:t>
            </w:r>
          </w:p>
        </w:tc>
        <w:tc>
          <w:tcPr>
            <w:tcW w:w="1682" w:type="pct"/>
            <w:tcBorders>
              <w:top w:val="nil"/>
              <w:left w:val="single" w:sz="4" w:space="0" w:color="auto"/>
              <w:bottom w:val="nil"/>
              <w:right w:val="single" w:sz="4" w:space="0" w:color="auto"/>
            </w:tcBorders>
            <w:shd w:val="clear" w:color="auto" w:fill="auto"/>
            <w:noWrap/>
            <w:hideMark/>
          </w:tcPr>
          <w:p w:rsidR="007F1447" w:rsidRPr="00C6003F"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 xml:space="preserve">Dagsforanstaltninger for børn  </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rPr>
                <w:rFonts w:ascii="Arial Narrow" w:hAnsi="Arial Narrow" w:cs="Arial"/>
                <w:b/>
                <w:bCs/>
                <w:color w:val="000000"/>
                <w:sz w:val="20"/>
              </w:rPr>
            </w:pP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486"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438"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379"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395" w:type="pct"/>
            <w:tcBorders>
              <w:top w:val="nil"/>
              <w:left w:val="single" w:sz="4" w:space="0" w:color="auto"/>
              <w:bottom w:val="nil"/>
              <w:right w:val="single" w:sz="4" w:space="0" w:color="auto"/>
            </w:tcBorders>
            <w:shd w:val="clear" w:color="auto" w:fill="auto"/>
            <w:noWrap/>
            <w:hideMark/>
          </w:tcPr>
          <w:p w:rsidR="007F1447" w:rsidRPr="00C6003F"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 </w:t>
            </w:r>
          </w:p>
        </w:tc>
      </w:tr>
      <w:tr w:rsidR="007F1447" w:rsidRPr="00C6003F" w:rsidTr="008817BA">
        <w:trPr>
          <w:trHeight w:val="330"/>
        </w:trPr>
        <w:tc>
          <w:tcPr>
            <w:tcW w:w="436" w:type="pct"/>
            <w:tcBorders>
              <w:top w:val="nil"/>
              <w:left w:val="single" w:sz="4" w:space="0" w:color="auto"/>
              <w:bottom w:val="nil"/>
              <w:right w:val="nil"/>
            </w:tcBorders>
            <w:shd w:val="clear" w:color="auto" w:fill="auto"/>
            <w:noWrap/>
            <w:hideMark/>
          </w:tcPr>
          <w:p w:rsidR="007F1447" w:rsidRPr="00C6003F" w:rsidRDefault="007F1447" w:rsidP="008817BA">
            <w:pPr>
              <w:tabs>
                <w:tab w:val="clear" w:pos="284"/>
              </w:tabs>
              <w:jc w:val="center"/>
              <w:rPr>
                <w:rFonts w:ascii="Arial Narrow" w:hAnsi="Arial Narrow" w:cs="Arial"/>
                <w:b/>
                <w:bCs/>
                <w:color w:val="000000"/>
                <w:sz w:val="22"/>
                <w:szCs w:val="22"/>
              </w:rPr>
            </w:pPr>
            <w:r>
              <w:rPr>
                <w:rFonts w:ascii="Arial Narrow" w:hAnsi="Arial Narrow" w:cs="Arial"/>
                <w:b/>
                <w:bCs/>
                <w:color w:val="000000"/>
                <w:sz w:val="22"/>
                <w:szCs w:val="22"/>
              </w:rPr>
              <w:t> </w:t>
            </w:r>
          </w:p>
        </w:tc>
        <w:tc>
          <w:tcPr>
            <w:tcW w:w="1682" w:type="pct"/>
            <w:tcBorders>
              <w:top w:val="nil"/>
              <w:left w:val="single" w:sz="4" w:space="0" w:color="auto"/>
              <w:bottom w:val="nil"/>
              <w:right w:val="single" w:sz="4" w:space="0" w:color="auto"/>
            </w:tcBorders>
            <w:shd w:val="clear" w:color="auto" w:fill="auto"/>
            <w:noWrap/>
            <w:hideMark/>
          </w:tcPr>
          <w:p w:rsidR="007F1447" w:rsidRPr="00C6003F"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og unge</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rPr>
                <w:rFonts w:ascii="Arial Narrow" w:hAnsi="Arial Narrow" w:cs="Arial"/>
                <w:b/>
                <w:bCs/>
                <w:color w:val="000000"/>
                <w:sz w:val="20"/>
              </w:rPr>
            </w:pP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486"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438"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379"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395" w:type="pct"/>
            <w:tcBorders>
              <w:top w:val="nil"/>
              <w:left w:val="single" w:sz="4" w:space="0" w:color="auto"/>
              <w:bottom w:val="nil"/>
              <w:right w:val="single" w:sz="4" w:space="0" w:color="auto"/>
            </w:tcBorders>
            <w:shd w:val="clear" w:color="auto" w:fill="auto"/>
            <w:noWrap/>
            <w:hideMark/>
          </w:tcPr>
          <w:p w:rsidR="007F1447" w:rsidRPr="00C6003F" w:rsidRDefault="007F1447" w:rsidP="008817BA">
            <w:pPr>
              <w:tabs>
                <w:tab w:val="clear" w:pos="284"/>
              </w:tabs>
              <w:rPr>
                <w:rFonts w:ascii="Arial Narrow" w:hAnsi="Arial Narrow" w:cs="Arial"/>
                <w:b/>
                <w:bCs/>
                <w:color w:val="000000"/>
                <w:sz w:val="22"/>
                <w:szCs w:val="22"/>
              </w:rPr>
            </w:pPr>
            <w:r>
              <w:rPr>
                <w:rFonts w:ascii="Arial Narrow" w:hAnsi="Arial Narrow" w:cs="Arial"/>
                <w:b/>
                <w:bCs/>
                <w:color w:val="000000"/>
                <w:sz w:val="22"/>
                <w:szCs w:val="22"/>
              </w:rPr>
              <w:t> </w:t>
            </w:r>
          </w:p>
        </w:tc>
      </w:tr>
      <w:tr w:rsidR="007F1447" w:rsidRPr="00C6003F" w:rsidTr="008817BA">
        <w:trPr>
          <w:trHeight w:val="255"/>
        </w:trPr>
        <w:tc>
          <w:tcPr>
            <w:tcW w:w="436" w:type="pct"/>
            <w:tcBorders>
              <w:top w:val="nil"/>
              <w:left w:val="single" w:sz="4" w:space="0" w:color="auto"/>
              <w:bottom w:val="nil"/>
              <w:right w:val="nil"/>
            </w:tcBorders>
            <w:shd w:val="clear" w:color="auto" w:fill="auto"/>
            <w:noWrap/>
            <w:hideMark/>
          </w:tcPr>
          <w:p w:rsidR="007F1447" w:rsidRPr="00C6003F"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50-01</w:t>
            </w:r>
          </w:p>
        </w:tc>
        <w:tc>
          <w:tcPr>
            <w:tcW w:w="1682" w:type="pct"/>
            <w:tcBorders>
              <w:top w:val="nil"/>
              <w:left w:val="single" w:sz="4" w:space="0" w:color="auto"/>
              <w:bottom w:val="nil"/>
              <w:right w:val="single" w:sz="4" w:space="0" w:color="auto"/>
            </w:tcBorders>
            <w:shd w:val="clear" w:color="auto" w:fill="auto"/>
            <w:hideMark/>
          </w:tcPr>
          <w:p w:rsidR="007F1447" w:rsidRPr="00C6003F" w:rsidRDefault="007F1447" w:rsidP="008817BA">
            <w:pPr>
              <w:tabs>
                <w:tab w:val="clear" w:pos="284"/>
              </w:tabs>
              <w:rPr>
                <w:rFonts w:ascii="Arial Narrow" w:hAnsi="Arial Narrow" w:cs="Arial"/>
                <w:color w:val="000000"/>
                <w:sz w:val="20"/>
              </w:rPr>
            </w:pPr>
            <w:r>
              <w:rPr>
                <w:rFonts w:ascii="Arial Narrow" w:hAnsi="Arial Narrow" w:cs="Arial"/>
                <w:color w:val="000000"/>
                <w:sz w:val="20"/>
              </w:rPr>
              <w:t>FÆLLESFORMÅL</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191</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86"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38"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191</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-135</w:t>
            </w:r>
          </w:p>
        </w:tc>
        <w:tc>
          <w:tcPr>
            <w:tcW w:w="379"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326</w:t>
            </w:r>
          </w:p>
        </w:tc>
        <w:tc>
          <w:tcPr>
            <w:tcW w:w="395" w:type="pct"/>
            <w:tcBorders>
              <w:top w:val="nil"/>
              <w:left w:val="single" w:sz="4" w:space="0" w:color="auto"/>
              <w:bottom w:val="nil"/>
              <w:right w:val="single" w:sz="4" w:space="0" w:color="auto"/>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-70,5</w:t>
            </w:r>
          </w:p>
        </w:tc>
      </w:tr>
      <w:tr w:rsidR="007F1447" w:rsidRPr="00C6003F" w:rsidTr="008817BA">
        <w:trPr>
          <w:trHeight w:val="255"/>
        </w:trPr>
        <w:tc>
          <w:tcPr>
            <w:tcW w:w="436" w:type="pct"/>
            <w:tcBorders>
              <w:top w:val="nil"/>
              <w:left w:val="single" w:sz="4" w:space="0" w:color="auto"/>
              <w:bottom w:val="nil"/>
              <w:right w:val="nil"/>
            </w:tcBorders>
            <w:shd w:val="clear" w:color="auto" w:fill="auto"/>
            <w:noWrap/>
            <w:hideMark/>
          </w:tcPr>
          <w:p w:rsidR="007F1447" w:rsidRPr="00C6003F"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50-04</w:t>
            </w:r>
          </w:p>
        </w:tc>
        <w:tc>
          <w:tcPr>
            <w:tcW w:w="1682" w:type="pct"/>
            <w:tcBorders>
              <w:top w:val="nil"/>
              <w:left w:val="single" w:sz="4" w:space="0" w:color="auto"/>
              <w:bottom w:val="nil"/>
              <w:right w:val="single" w:sz="4" w:space="0" w:color="auto"/>
            </w:tcBorders>
            <w:shd w:val="clear" w:color="auto" w:fill="auto"/>
            <w:hideMark/>
          </w:tcPr>
          <w:p w:rsidR="007F1447" w:rsidRPr="00C6003F" w:rsidRDefault="007F1447" w:rsidP="008817BA">
            <w:pPr>
              <w:tabs>
                <w:tab w:val="clear" w:pos="284"/>
              </w:tabs>
              <w:rPr>
                <w:rFonts w:ascii="Arial Narrow" w:hAnsi="Arial Narrow" w:cs="Arial"/>
                <w:color w:val="000000"/>
                <w:sz w:val="20"/>
              </w:rPr>
            </w:pPr>
            <w:r>
              <w:rPr>
                <w:rFonts w:ascii="Arial Narrow" w:hAnsi="Arial Narrow" w:cs="Arial"/>
                <w:color w:val="000000"/>
                <w:sz w:val="20"/>
              </w:rPr>
              <w:t>FRITIDSHJEM</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2.871</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86"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38"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2.871</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1.963</w:t>
            </w:r>
          </w:p>
        </w:tc>
        <w:tc>
          <w:tcPr>
            <w:tcW w:w="379"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908</w:t>
            </w:r>
          </w:p>
        </w:tc>
        <w:tc>
          <w:tcPr>
            <w:tcW w:w="395" w:type="pct"/>
            <w:tcBorders>
              <w:top w:val="nil"/>
              <w:left w:val="single" w:sz="4" w:space="0" w:color="auto"/>
              <w:bottom w:val="nil"/>
              <w:right w:val="single" w:sz="4" w:space="0" w:color="auto"/>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68,4</w:t>
            </w:r>
          </w:p>
        </w:tc>
      </w:tr>
      <w:tr w:rsidR="007F1447" w:rsidRPr="00C6003F" w:rsidTr="008817BA">
        <w:trPr>
          <w:trHeight w:val="255"/>
        </w:trPr>
        <w:tc>
          <w:tcPr>
            <w:tcW w:w="436" w:type="pct"/>
            <w:tcBorders>
              <w:top w:val="nil"/>
              <w:left w:val="single" w:sz="4" w:space="0" w:color="auto"/>
              <w:bottom w:val="nil"/>
              <w:right w:val="nil"/>
            </w:tcBorders>
            <w:shd w:val="clear" w:color="auto" w:fill="auto"/>
            <w:noWrap/>
            <w:hideMark/>
          </w:tcPr>
          <w:p w:rsidR="007F1447" w:rsidRPr="00C6003F"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50-05</w:t>
            </w:r>
          </w:p>
        </w:tc>
        <w:tc>
          <w:tcPr>
            <w:tcW w:w="1682" w:type="pct"/>
            <w:tcBorders>
              <w:top w:val="nil"/>
              <w:left w:val="single" w:sz="4" w:space="0" w:color="auto"/>
              <w:bottom w:val="nil"/>
              <w:right w:val="single" w:sz="4" w:space="0" w:color="auto"/>
            </w:tcBorders>
            <w:shd w:val="clear" w:color="auto" w:fill="auto"/>
            <w:hideMark/>
          </w:tcPr>
          <w:p w:rsidR="007F1447" w:rsidRPr="00C6003F" w:rsidRDefault="007F1447" w:rsidP="008817BA">
            <w:pPr>
              <w:tabs>
                <w:tab w:val="clear" w:pos="284"/>
              </w:tabs>
              <w:rPr>
                <w:rFonts w:ascii="Arial Narrow" w:hAnsi="Arial Narrow" w:cs="Arial"/>
                <w:color w:val="000000"/>
                <w:sz w:val="20"/>
              </w:rPr>
            </w:pPr>
            <w:r>
              <w:rPr>
                <w:rFonts w:ascii="Arial Narrow" w:hAnsi="Arial Narrow" w:cs="Arial"/>
                <w:color w:val="000000"/>
                <w:sz w:val="20"/>
              </w:rPr>
              <w:t>INTEGREREDE INSTITUTIONER</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14.661</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86"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38"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14.661</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12.493</w:t>
            </w:r>
          </w:p>
        </w:tc>
        <w:tc>
          <w:tcPr>
            <w:tcW w:w="379"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2.168</w:t>
            </w:r>
          </w:p>
        </w:tc>
        <w:tc>
          <w:tcPr>
            <w:tcW w:w="395" w:type="pct"/>
            <w:tcBorders>
              <w:top w:val="nil"/>
              <w:left w:val="single" w:sz="4" w:space="0" w:color="auto"/>
              <w:bottom w:val="nil"/>
              <w:right w:val="single" w:sz="4" w:space="0" w:color="auto"/>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85,2</w:t>
            </w:r>
          </w:p>
        </w:tc>
      </w:tr>
      <w:tr w:rsidR="007F1447" w:rsidRPr="00C6003F" w:rsidTr="008817BA">
        <w:trPr>
          <w:trHeight w:val="255"/>
        </w:trPr>
        <w:tc>
          <w:tcPr>
            <w:tcW w:w="436" w:type="pct"/>
            <w:tcBorders>
              <w:top w:val="nil"/>
              <w:left w:val="single" w:sz="4" w:space="0" w:color="auto"/>
              <w:bottom w:val="nil"/>
              <w:right w:val="nil"/>
            </w:tcBorders>
            <w:shd w:val="clear" w:color="auto" w:fill="auto"/>
            <w:noWrap/>
            <w:hideMark/>
          </w:tcPr>
          <w:p w:rsidR="007F1447" w:rsidRPr="00C6003F"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50-06</w:t>
            </w:r>
          </w:p>
        </w:tc>
        <w:tc>
          <w:tcPr>
            <w:tcW w:w="1682" w:type="pct"/>
            <w:tcBorders>
              <w:top w:val="nil"/>
              <w:left w:val="single" w:sz="4" w:space="0" w:color="auto"/>
              <w:bottom w:val="nil"/>
              <w:right w:val="single" w:sz="4" w:space="0" w:color="auto"/>
            </w:tcBorders>
            <w:shd w:val="clear" w:color="auto" w:fill="auto"/>
            <w:hideMark/>
          </w:tcPr>
          <w:p w:rsidR="007F1447" w:rsidRPr="00C6003F" w:rsidRDefault="007F1447" w:rsidP="008817BA">
            <w:pPr>
              <w:tabs>
                <w:tab w:val="clear" w:pos="284"/>
              </w:tabs>
              <w:rPr>
                <w:rFonts w:ascii="Arial Narrow" w:hAnsi="Arial Narrow" w:cs="Arial"/>
                <w:color w:val="000000"/>
                <w:sz w:val="20"/>
              </w:rPr>
            </w:pPr>
            <w:r>
              <w:rPr>
                <w:rFonts w:ascii="Arial Narrow" w:hAnsi="Arial Narrow" w:cs="Arial"/>
                <w:color w:val="000000"/>
                <w:sz w:val="20"/>
              </w:rPr>
              <w:t xml:space="preserve">DEN KOMM. </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5.269</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86"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38"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5.269</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3.926</w:t>
            </w:r>
          </w:p>
        </w:tc>
        <w:tc>
          <w:tcPr>
            <w:tcW w:w="379"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1.343</w:t>
            </w:r>
          </w:p>
        </w:tc>
        <w:tc>
          <w:tcPr>
            <w:tcW w:w="395" w:type="pct"/>
            <w:tcBorders>
              <w:top w:val="nil"/>
              <w:left w:val="single" w:sz="4" w:space="0" w:color="auto"/>
              <w:bottom w:val="nil"/>
              <w:right w:val="single" w:sz="4" w:space="0" w:color="auto"/>
            </w:tcBorders>
            <w:shd w:val="clear" w:color="auto" w:fill="auto"/>
            <w:noWrap/>
            <w:hideMark/>
          </w:tcPr>
          <w:p w:rsidR="007F1447" w:rsidRPr="00C6003F"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74,5</w:t>
            </w:r>
          </w:p>
        </w:tc>
      </w:tr>
      <w:tr w:rsidR="007F1447" w:rsidRPr="00C6003F" w:rsidTr="008817BA">
        <w:trPr>
          <w:trHeight w:val="255"/>
        </w:trPr>
        <w:tc>
          <w:tcPr>
            <w:tcW w:w="436" w:type="pct"/>
            <w:tcBorders>
              <w:top w:val="nil"/>
              <w:left w:val="single" w:sz="4" w:space="0" w:color="auto"/>
              <w:bottom w:val="nil"/>
              <w:right w:val="nil"/>
            </w:tcBorders>
            <w:shd w:val="clear" w:color="auto" w:fill="auto"/>
            <w:noWrap/>
            <w:hideMark/>
          </w:tcPr>
          <w:p w:rsidR="007F1447" w:rsidRPr="00C6003F" w:rsidRDefault="007F1447" w:rsidP="008817BA">
            <w:pPr>
              <w:tabs>
                <w:tab w:val="clear" w:pos="284"/>
              </w:tabs>
              <w:jc w:val="center"/>
              <w:rPr>
                <w:rFonts w:ascii="Arial" w:hAnsi="Arial" w:cs="Arial"/>
                <w:color w:val="000000"/>
                <w:sz w:val="20"/>
              </w:rPr>
            </w:pPr>
            <w:r>
              <w:rPr>
                <w:rFonts w:ascii="Arial" w:hAnsi="Arial" w:cs="Arial"/>
                <w:color w:val="000000"/>
                <w:sz w:val="20"/>
              </w:rPr>
              <w:t> </w:t>
            </w:r>
          </w:p>
        </w:tc>
        <w:tc>
          <w:tcPr>
            <w:tcW w:w="1682" w:type="pct"/>
            <w:tcBorders>
              <w:top w:val="nil"/>
              <w:left w:val="single" w:sz="4" w:space="0" w:color="auto"/>
              <w:bottom w:val="nil"/>
              <w:right w:val="single" w:sz="4" w:space="0" w:color="auto"/>
            </w:tcBorders>
            <w:shd w:val="clear" w:color="auto" w:fill="auto"/>
            <w:hideMark/>
          </w:tcPr>
          <w:p w:rsidR="007F1447" w:rsidRPr="00C6003F" w:rsidRDefault="007F1447" w:rsidP="008817BA">
            <w:pPr>
              <w:tabs>
                <w:tab w:val="clear" w:pos="284"/>
              </w:tabs>
              <w:rPr>
                <w:rFonts w:ascii="Arial Narrow" w:hAnsi="Arial Narrow" w:cs="Arial"/>
                <w:color w:val="000000"/>
                <w:sz w:val="20"/>
              </w:rPr>
            </w:pPr>
            <w:r>
              <w:rPr>
                <w:rFonts w:ascii="Arial Narrow" w:hAnsi="Arial Narrow" w:cs="Arial"/>
                <w:color w:val="000000"/>
                <w:sz w:val="20"/>
              </w:rPr>
              <w:t>DAGPLEJE</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rPr>
                <w:rFonts w:ascii="Arial Narrow" w:hAnsi="Arial Narrow" w:cs="Arial"/>
                <w:color w:val="000000"/>
                <w:sz w:val="20"/>
              </w:rPr>
            </w:pP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486"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438"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379" w:type="pct"/>
            <w:tcBorders>
              <w:top w:val="nil"/>
              <w:left w:val="nil"/>
              <w:bottom w:val="nil"/>
              <w:right w:val="nil"/>
            </w:tcBorders>
            <w:shd w:val="clear" w:color="auto" w:fill="auto"/>
            <w:noWrap/>
            <w:hideMark/>
          </w:tcPr>
          <w:p w:rsidR="007F1447" w:rsidRPr="00C6003F" w:rsidRDefault="007F1447" w:rsidP="008817BA">
            <w:pPr>
              <w:tabs>
                <w:tab w:val="clear" w:pos="284"/>
              </w:tabs>
              <w:rPr>
                <w:sz w:val="20"/>
              </w:rPr>
            </w:pPr>
          </w:p>
        </w:tc>
        <w:tc>
          <w:tcPr>
            <w:tcW w:w="395" w:type="pct"/>
            <w:tcBorders>
              <w:top w:val="nil"/>
              <w:left w:val="single" w:sz="4" w:space="0" w:color="auto"/>
              <w:bottom w:val="nil"/>
              <w:right w:val="single" w:sz="4" w:space="0" w:color="auto"/>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C6003F" w:rsidTr="008817BA">
        <w:trPr>
          <w:trHeight w:val="255"/>
        </w:trPr>
        <w:tc>
          <w:tcPr>
            <w:tcW w:w="436" w:type="pct"/>
            <w:tcBorders>
              <w:top w:val="single" w:sz="4" w:space="0" w:color="auto"/>
              <w:left w:val="single" w:sz="4" w:space="0" w:color="auto"/>
              <w:bottom w:val="nil"/>
              <w:right w:val="nil"/>
            </w:tcBorders>
            <w:shd w:val="clear" w:color="auto" w:fill="auto"/>
            <w:noWrap/>
            <w:hideMark/>
          </w:tcPr>
          <w:p w:rsidR="007F1447" w:rsidRPr="00C6003F" w:rsidRDefault="007F1447" w:rsidP="008817BA">
            <w:pPr>
              <w:tabs>
                <w:tab w:val="clear" w:pos="284"/>
              </w:tabs>
              <w:jc w:val="center"/>
              <w:rPr>
                <w:rFonts w:ascii="Arial" w:hAnsi="Arial" w:cs="Arial"/>
                <w:color w:val="000000"/>
                <w:sz w:val="20"/>
              </w:rPr>
            </w:pPr>
            <w:r>
              <w:rPr>
                <w:rFonts w:ascii="Arial" w:hAnsi="Arial" w:cs="Arial"/>
                <w:color w:val="000000"/>
                <w:sz w:val="20"/>
              </w:rPr>
              <w:t> </w:t>
            </w:r>
          </w:p>
        </w:tc>
        <w:tc>
          <w:tcPr>
            <w:tcW w:w="1682" w:type="pct"/>
            <w:tcBorders>
              <w:top w:val="single" w:sz="4" w:space="0" w:color="auto"/>
              <w:left w:val="single" w:sz="4" w:space="0" w:color="auto"/>
              <w:bottom w:val="nil"/>
              <w:right w:val="single" w:sz="4" w:space="0" w:color="auto"/>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5" w:type="pct"/>
            <w:tcBorders>
              <w:top w:val="single" w:sz="4" w:space="0" w:color="auto"/>
              <w:left w:val="nil"/>
              <w:bottom w:val="nil"/>
              <w:right w:val="nil"/>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5" w:type="pct"/>
            <w:tcBorders>
              <w:top w:val="single" w:sz="4" w:space="0" w:color="auto"/>
              <w:left w:val="nil"/>
              <w:bottom w:val="nil"/>
              <w:right w:val="nil"/>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86" w:type="pct"/>
            <w:tcBorders>
              <w:top w:val="single" w:sz="4" w:space="0" w:color="auto"/>
              <w:left w:val="nil"/>
              <w:bottom w:val="nil"/>
              <w:right w:val="nil"/>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38" w:type="pct"/>
            <w:tcBorders>
              <w:top w:val="single" w:sz="4" w:space="0" w:color="auto"/>
              <w:left w:val="nil"/>
              <w:bottom w:val="nil"/>
              <w:right w:val="nil"/>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5" w:type="pct"/>
            <w:tcBorders>
              <w:top w:val="single" w:sz="4" w:space="0" w:color="auto"/>
              <w:left w:val="nil"/>
              <w:bottom w:val="nil"/>
              <w:right w:val="nil"/>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79" w:type="pct"/>
            <w:tcBorders>
              <w:top w:val="single" w:sz="4" w:space="0" w:color="auto"/>
              <w:left w:val="nil"/>
              <w:bottom w:val="nil"/>
              <w:right w:val="nil"/>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5" w:type="pct"/>
            <w:tcBorders>
              <w:top w:val="single" w:sz="4" w:space="0" w:color="auto"/>
              <w:left w:val="single" w:sz="4" w:space="0" w:color="auto"/>
              <w:bottom w:val="nil"/>
              <w:right w:val="single" w:sz="4" w:space="0" w:color="auto"/>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C6003F" w:rsidTr="008817BA">
        <w:trPr>
          <w:trHeight w:val="255"/>
        </w:trPr>
        <w:tc>
          <w:tcPr>
            <w:tcW w:w="436" w:type="pct"/>
            <w:tcBorders>
              <w:top w:val="nil"/>
              <w:left w:val="single" w:sz="4" w:space="0" w:color="auto"/>
              <w:bottom w:val="nil"/>
              <w:right w:val="nil"/>
            </w:tcBorders>
            <w:shd w:val="clear" w:color="auto" w:fill="auto"/>
            <w:noWrap/>
            <w:hideMark/>
          </w:tcPr>
          <w:p w:rsidR="007F1447" w:rsidRPr="00C6003F"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50</w:t>
            </w:r>
          </w:p>
        </w:tc>
        <w:tc>
          <w:tcPr>
            <w:tcW w:w="1682" w:type="pct"/>
            <w:tcBorders>
              <w:top w:val="nil"/>
              <w:left w:val="single" w:sz="4" w:space="0" w:color="auto"/>
              <w:bottom w:val="nil"/>
              <w:right w:val="single" w:sz="4" w:space="0" w:color="auto"/>
            </w:tcBorders>
            <w:shd w:val="clear" w:color="auto" w:fill="auto"/>
            <w:noWrap/>
            <w:hideMark/>
          </w:tcPr>
          <w:p w:rsidR="007F1447" w:rsidRPr="00C6003F"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 xml:space="preserve">DAGFORANSTALTNINGER FOR BØRN OG UNGE </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22.992</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0</w:t>
            </w:r>
          </w:p>
        </w:tc>
        <w:tc>
          <w:tcPr>
            <w:tcW w:w="486"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0</w:t>
            </w:r>
          </w:p>
        </w:tc>
        <w:tc>
          <w:tcPr>
            <w:tcW w:w="438"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22.992</w:t>
            </w:r>
          </w:p>
        </w:tc>
        <w:tc>
          <w:tcPr>
            <w:tcW w:w="395"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18.248</w:t>
            </w:r>
          </w:p>
        </w:tc>
        <w:tc>
          <w:tcPr>
            <w:tcW w:w="379" w:type="pct"/>
            <w:tcBorders>
              <w:top w:val="nil"/>
              <w:left w:val="nil"/>
              <w:bottom w:val="nil"/>
              <w:right w:val="nil"/>
            </w:tcBorders>
            <w:shd w:val="clear" w:color="auto" w:fill="auto"/>
            <w:noWrap/>
            <w:hideMark/>
          </w:tcPr>
          <w:p w:rsidR="007F1447" w:rsidRPr="00C6003F"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4.744</w:t>
            </w:r>
          </w:p>
        </w:tc>
        <w:tc>
          <w:tcPr>
            <w:tcW w:w="395" w:type="pct"/>
            <w:tcBorders>
              <w:top w:val="nil"/>
              <w:left w:val="single" w:sz="4" w:space="0" w:color="auto"/>
              <w:bottom w:val="nil"/>
              <w:right w:val="single" w:sz="4" w:space="0" w:color="auto"/>
            </w:tcBorders>
            <w:shd w:val="clear" w:color="auto" w:fill="auto"/>
            <w:noWrap/>
            <w:hideMark/>
          </w:tcPr>
          <w:p w:rsidR="007F1447" w:rsidRPr="00C6003F"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79,4</w:t>
            </w:r>
          </w:p>
        </w:tc>
      </w:tr>
      <w:tr w:rsidR="007F1447" w:rsidRPr="00C6003F" w:rsidTr="008817BA">
        <w:trPr>
          <w:trHeight w:val="255"/>
        </w:trPr>
        <w:tc>
          <w:tcPr>
            <w:tcW w:w="436" w:type="pct"/>
            <w:tcBorders>
              <w:top w:val="nil"/>
              <w:left w:val="single" w:sz="4" w:space="0" w:color="auto"/>
              <w:bottom w:val="single" w:sz="4" w:space="0" w:color="auto"/>
              <w:right w:val="nil"/>
            </w:tcBorders>
            <w:shd w:val="clear" w:color="auto" w:fill="auto"/>
            <w:noWrap/>
            <w:hideMark/>
          </w:tcPr>
          <w:p w:rsidR="007F1447" w:rsidRPr="00C6003F" w:rsidRDefault="007F1447" w:rsidP="008817BA">
            <w:pPr>
              <w:tabs>
                <w:tab w:val="clear" w:pos="284"/>
              </w:tabs>
              <w:jc w:val="center"/>
              <w:rPr>
                <w:rFonts w:ascii="Arial" w:hAnsi="Arial" w:cs="Arial"/>
                <w:color w:val="000000"/>
                <w:sz w:val="20"/>
              </w:rPr>
            </w:pPr>
            <w:r>
              <w:rPr>
                <w:rFonts w:ascii="Arial" w:hAnsi="Arial" w:cs="Arial"/>
                <w:color w:val="000000"/>
                <w:sz w:val="20"/>
              </w:rPr>
              <w:t> </w:t>
            </w:r>
          </w:p>
        </w:tc>
        <w:tc>
          <w:tcPr>
            <w:tcW w:w="1682" w:type="pct"/>
            <w:tcBorders>
              <w:top w:val="nil"/>
              <w:left w:val="single" w:sz="4" w:space="0" w:color="auto"/>
              <w:bottom w:val="single" w:sz="4" w:space="0" w:color="auto"/>
              <w:right w:val="single" w:sz="4" w:space="0" w:color="auto"/>
            </w:tcBorders>
            <w:shd w:val="clear" w:color="auto" w:fill="auto"/>
            <w:noWrap/>
            <w:hideMark/>
          </w:tcPr>
          <w:p w:rsidR="007F1447" w:rsidRPr="00C6003F" w:rsidRDefault="007F1447" w:rsidP="008817BA">
            <w:pPr>
              <w:tabs>
                <w:tab w:val="clear" w:pos="284"/>
              </w:tabs>
              <w:rPr>
                <w:rFonts w:ascii="Arial Narrow" w:hAnsi="Arial Narrow" w:cs="Arial"/>
                <w:b/>
                <w:bCs/>
                <w:color w:val="000000"/>
                <w:sz w:val="20"/>
              </w:rPr>
            </w:pPr>
          </w:p>
        </w:tc>
        <w:tc>
          <w:tcPr>
            <w:tcW w:w="395" w:type="pct"/>
            <w:tcBorders>
              <w:top w:val="nil"/>
              <w:left w:val="nil"/>
              <w:bottom w:val="single" w:sz="4" w:space="0" w:color="auto"/>
              <w:right w:val="nil"/>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5" w:type="pct"/>
            <w:tcBorders>
              <w:top w:val="nil"/>
              <w:left w:val="nil"/>
              <w:bottom w:val="single" w:sz="4" w:space="0" w:color="auto"/>
              <w:right w:val="nil"/>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86" w:type="pct"/>
            <w:tcBorders>
              <w:top w:val="nil"/>
              <w:left w:val="nil"/>
              <w:bottom w:val="single" w:sz="4" w:space="0" w:color="auto"/>
              <w:right w:val="nil"/>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38" w:type="pct"/>
            <w:tcBorders>
              <w:top w:val="nil"/>
              <w:left w:val="nil"/>
              <w:bottom w:val="single" w:sz="4" w:space="0" w:color="auto"/>
              <w:right w:val="nil"/>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5" w:type="pct"/>
            <w:tcBorders>
              <w:top w:val="nil"/>
              <w:left w:val="nil"/>
              <w:bottom w:val="single" w:sz="4" w:space="0" w:color="auto"/>
              <w:right w:val="nil"/>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79" w:type="pct"/>
            <w:tcBorders>
              <w:top w:val="nil"/>
              <w:left w:val="nil"/>
              <w:bottom w:val="single" w:sz="4" w:space="0" w:color="auto"/>
              <w:right w:val="nil"/>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5" w:type="pct"/>
            <w:tcBorders>
              <w:top w:val="nil"/>
              <w:left w:val="single" w:sz="4" w:space="0" w:color="auto"/>
              <w:bottom w:val="single" w:sz="4" w:space="0" w:color="auto"/>
              <w:right w:val="single" w:sz="4" w:space="0" w:color="auto"/>
            </w:tcBorders>
            <w:shd w:val="clear" w:color="auto" w:fill="auto"/>
            <w:noWrap/>
            <w:hideMark/>
          </w:tcPr>
          <w:p w:rsidR="007F1447" w:rsidRPr="00C6003F" w:rsidRDefault="007F1447" w:rsidP="008817BA">
            <w:pPr>
              <w:tabs>
                <w:tab w:val="clear" w:pos="284"/>
              </w:tabs>
              <w:rPr>
                <w:rFonts w:ascii="Arial" w:hAnsi="Arial" w:cs="Arial"/>
                <w:color w:val="000000"/>
                <w:sz w:val="20"/>
              </w:rPr>
            </w:pPr>
            <w:r>
              <w:rPr>
                <w:rFonts w:ascii="Arial" w:hAnsi="Arial" w:cs="Arial"/>
                <w:color w:val="000000"/>
                <w:sz w:val="20"/>
              </w:rPr>
              <w:t> </w:t>
            </w:r>
          </w:p>
        </w:tc>
      </w:tr>
    </w:tbl>
    <w:p w:rsidR="007F1447" w:rsidRPr="00490CE0" w:rsidRDefault="007F1447" w:rsidP="007F1447">
      <w:pPr>
        <w:tabs>
          <w:tab w:val="clear" w:pos="284"/>
        </w:tabs>
        <w:rPr>
          <w:b/>
          <w:szCs w:val="24"/>
          <w:lang w:val="kl-GL"/>
        </w:rPr>
      </w:pPr>
    </w:p>
    <w:p w:rsidR="007F1447" w:rsidRPr="00950F3D" w:rsidRDefault="007F1447" w:rsidP="007F1447">
      <w:pPr>
        <w:tabs>
          <w:tab w:val="clear" w:pos="284"/>
        </w:tabs>
        <w:rPr>
          <w:szCs w:val="24"/>
          <w:lang w:val="kl-GL"/>
        </w:rPr>
      </w:pPr>
      <w:r>
        <w:rPr>
          <w:szCs w:val="24"/>
        </w:rPr>
        <w:t xml:space="preserve"> Daginstitutioner: Daginstitutionernes forbrug ligger på 79,4 %.</w:t>
      </w:r>
    </w:p>
    <w:p w:rsidR="007F1447" w:rsidRPr="00950F3D" w:rsidRDefault="007F1447" w:rsidP="007F1447">
      <w:pPr>
        <w:tabs>
          <w:tab w:val="clear" w:pos="284"/>
        </w:tabs>
        <w:rPr>
          <w:szCs w:val="24"/>
          <w:lang w:val="kl-GL"/>
        </w:rPr>
      </w:pPr>
    </w:p>
    <w:p w:rsidR="007F1447" w:rsidRPr="00950F3D" w:rsidRDefault="007F1447" w:rsidP="007F1447">
      <w:pPr>
        <w:tabs>
          <w:tab w:val="clear" w:pos="284"/>
        </w:tabs>
        <w:rPr>
          <w:szCs w:val="24"/>
          <w:lang w:val="kl-GL"/>
        </w:rPr>
      </w:pPr>
      <w:r>
        <w:rPr>
          <w:szCs w:val="24"/>
        </w:rPr>
        <w:t xml:space="preserve">Fællesomkostninger </w:t>
      </w:r>
    </w:p>
    <w:p w:rsidR="007F1447" w:rsidRPr="00490CE0" w:rsidRDefault="007F1447" w:rsidP="007F1447">
      <w:pPr>
        <w:tabs>
          <w:tab w:val="clear" w:pos="284"/>
        </w:tabs>
        <w:rPr>
          <w:szCs w:val="24"/>
          <w:lang w:val="kl-GL"/>
        </w:rPr>
      </w:pPr>
    </w:p>
    <w:p w:rsidR="007F1447" w:rsidRPr="00490CE0" w:rsidRDefault="007F1447" w:rsidP="007F1447">
      <w:pPr>
        <w:autoSpaceDE w:val="0"/>
        <w:autoSpaceDN w:val="0"/>
        <w:adjustRightInd w:val="0"/>
        <w:rPr>
          <w:szCs w:val="24"/>
          <w:lang w:val="kl-GL"/>
        </w:rPr>
      </w:pPr>
      <w:r>
        <w:rPr>
          <w:szCs w:val="24"/>
        </w:rPr>
        <w:t>50-01-20-05-01 Daginstitutionernes samlede kursusudgifter, 48,0 %.</w:t>
      </w:r>
    </w:p>
    <w:p w:rsidR="007F1447" w:rsidRPr="0027243B" w:rsidRDefault="007F1447" w:rsidP="007F1447">
      <w:pPr>
        <w:autoSpaceDE w:val="0"/>
        <w:autoSpaceDN w:val="0"/>
        <w:adjustRightInd w:val="0"/>
        <w:rPr>
          <w:szCs w:val="24"/>
          <w:lang w:val="kl-GL"/>
        </w:rPr>
      </w:pPr>
      <w:r>
        <w:rPr>
          <w:szCs w:val="24"/>
        </w:rPr>
        <w:t>Der er ikke betalt for følgende kurser:</w:t>
      </w:r>
    </w:p>
    <w:p w:rsidR="007F1447" w:rsidRPr="0027243B" w:rsidRDefault="007F1447" w:rsidP="007F1447">
      <w:pPr>
        <w:autoSpaceDE w:val="0"/>
        <w:autoSpaceDN w:val="0"/>
        <w:adjustRightInd w:val="0"/>
        <w:rPr>
          <w:szCs w:val="24"/>
          <w:lang w:val="kl-GL"/>
        </w:rPr>
      </w:pPr>
      <w:r>
        <w:rPr>
          <w:szCs w:val="24"/>
        </w:rPr>
        <w:t>Førstehjælp</w:t>
      </w:r>
    </w:p>
    <w:p w:rsidR="007F1447" w:rsidRPr="0027243B" w:rsidRDefault="007F1447" w:rsidP="007F1447">
      <w:pPr>
        <w:autoSpaceDE w:val="0"/>
        <w:autoSpaceDN w:val="0"/>
        <w:adjustRightInd w:val="0"/>
        <w:rPr>
          <w:szCs w:val="24"/>
          <w:lang w:val="kl-GL"/>
        </w:rPr>
      </w:pPr>
      <w:r>
        <w:rPr>
          <w:szCs w:val="24"/>
        </w:rPr>
        <w:t>Inuk Ressource</w:t>
      </w:r>
    </w:p>
    <w:p w:rsidR="007F1447" w:rsidRPr="0027243B" w:rsidRDefault="007F1447" w:rsidP="007F1447">
      <w:pPr>
        <w:autoSpaceDE w:val="0"/>
        <w:autoSpaceDN w:val="0"/>
        <w:adjustRightInd w:val="0"/>
        <w:rPr>
          <w:szCs w:val="24"/>
          <w:lang w:val="kl-GL"/>
        </w:rPr>
      </w:pPr>
      <w:r>
        <w:rPr>
          <w:szCs w:val="24"/>
        </w:rPr>
        <w:t>MIIM</w:t>
      </w:r>
    </w:p>
    <w:p w:rsidR="007F1447" w:rsidRPr="00490CE0" w:rsidRDefault="007F1447" w:rsidP="007F1447">
      <w:pPr>
        <w:autoSpaceDE w:val="0"/>
        <w:autoSpaceDN w:val="0"/>
        <w:adjustRightInd w:val="0"/>
        <w:rPr>
          <w:szCs w:val="24"/>
          <w:lang w:val="kl-GL"/>
        </w:rPr>
      </w:pPr>
    </w:p>
    <w:p w:rsidR="007F1447" w:rsidRPr="00490CE0" w:rsidRDefault="007F1447" w:rsidP="007F1447">
      <w:pPr>
        <w:autoSpaceDE w:val="0"/>
        <w:autoSpaceDN w:val="0"/>
        <w:adjustRightInd w:val="0"/>
        <w:rPr>
          <w:szCs w:val="24"/>
          <w:lang w:val="kl-GL"/>
        </w:rPr>
      </w:pPr>
      <w:r>
        <w:rPr>
          <w:szCs w:val="24"/>
        </w:rPr>
        <w:t>50-01-20-16-00 Frokosten på daginstitutionerne ligger på 73,5 %.</w:t>
      </w:r>
    </w:p>
    <w:p w:rsidR="007F1447" w:rsidRPr="00A43A98" w:rsidRDefault="007F1447" w:rsidP="007F1447">
      <w:pPr>
        <w:rPr>
          <w:szCs w:val="24"/>
          <w:lang w:val="kl-GL"/>
        </w:rPr>
      </w:pPr>
      <w:r>
        <w:rPr>
          <w:szCs w:val="24"/>
        </w:rPr>
        <w:t>Udgifterne pågår normalt.</w:t>
      </w:r>
    </w:p>
    <w:p w:rsidR="007F1447" w:rsidRPr="00490CE0" w:rsidRDefault="007F1447" w:rsidP="007F1447">
      <w:pPr>
        <w:autoSpaceDE w:val="0"/>
        <w:autoSpaceDN w:val="0"/>
        <w:adjustRightInd w:val="0"/>
        <w:rPr>
          <w:szCs w:val="24"/>
          <w:lang w:val="kl-GL"/>
        </w:rPr>
      </w:pPr>
    </w:p>
    <w:p w:rsidR="007F1447" w:rsidRPr="00490CE0" w:rsidRDefault="007F1447" w:rsidP="007F1447">
      <w:pPr>
        <w:rPr>
          <w:szCs w:val="24"/>
          <w:lang w:val="kl-GL"/>
        </w:rPr>
      </w:pPr>
      <w:r>
        <w:rPr>
          <w:szCs w:val="24"/>
        </w:rPr>
        <w:t>50-01-20-70-00 Forældrebetaling ligger på 86,4 %.</w:t>
      </w:r>
    </w:p>
    <w:p w:rsidR="007F1447" w:rsidRDefault="007F1447" w:rsidP="007F1447">
      <w:pPr>
        <w:rPr>
          <w:lang w:val="kl-GL"/>
        </w:rPr>
      </w:pPr>
      <w:r>
        <w:t>Det er status for indtægterne.</w:t>
      </w:r>
    </w:p>
    <w:p w:rsidR="007F1447" w:rsidRPr="00490CE0" w:rsidRDefault="007F1447" w:rsidP="007F1447">
      <w:pPr>
        <w:rPr>
          <w:szCs w:val="24"/>
          <w:lang w:val="kl-GL"/>
        </w:rPr>
      </w:pPr>
    </w:p>
    <w:p w:rsidR="007F1447" w:rsidRPr="00E93D89" w:rsidRDefault="007F1447" w:rsidP="007F1447">
      <w:pPr>
        <w:rPr>
          <w:b/>
          <w:szCs w:val="24"/>
          <w:lang w:val="kl-GL"/>
        </w:rPr>
      </w:pPr>
      <w:r w:rsidRPr="00E93D89">
        <w:rPr>
          <w:b/>
          <w:szCs w:val="24"/>
        </w:rPr>
        <w:t>Angajo 68,4 %</w:t>
      </w:r>
    </w:p>
    <w:p w:rsidR="007F1447" w:rsidRPr="00490CE0" w:rsidRDefault="007F1447" w:rsidP="007F1447">
      <w:pPr>
        <w:rPr>
          <w:szCs w:val="24"/>
          <w:lang w:val="kl-GL"/>
        </w:rPr>
      </w:pPr>
      <w:r>
        <w:t>50-04-23-20-00 Anskaffelse af materiel og inventar, har stor merforbrug, dette skyldes, at sofa er udskiftet i TV-stuen</w:t>
      </w:r>
    </w:p>
    <w:p w:rsidR="007F1447" w:rsidRPr="00490CE0" w:rsidRDefault="007F1447" w:rsidP="007F1447">
      <w:pPr>
        <w:rPr>
          <w:szCs w:val="24"/>
          <w:lang w:val="kl-GL"/>
        </w:rPr>
      </w:pPr>
    </w:p>
    <w:p w:rsidR="007F1447" w:rsidRPr="00E93D89" w:rsidRDefault="007F1447" w:rsidP="007F1447">
      <w:pPr>
        <w:rPr>
          <w:b/>
          <w:szCs w:val="24"/>
          <w:lang w:val="kl-GL"/>
        </w:rPr>
      </w:pPr>
      <w:proofErr w:type="spellStart"/>
      <w:r w:rsidRPr="00E93D89">
        <w:rPr>
          <w:b/>
          <w:szCs w:val="24"/>
        </w:rPr>
        <w:t>Aanikasik</w:t>
      </w:r>
      <w:proofErr w:type="spellEnd"/>
      <w:r w:rsidRPr="00E93D89">
        <w:rPr>
          <w:b/>
          <w:szCs w:val="24"/>
        </w:rPr>
        <w:t xml:space="preserve"> 96,4 %</w:t>
      </w:r>
    </w:p>
    <w:p w:rsidR="007F1447" w:rsidRPr="00733F80" w:rsidRDefault="007F1447" w:rsidP="007F1447">
      <w:pPr>
        <w:rPr>
          <w:szCs w:val="24"/>
          <w:lang w:val="kl-GL"/>
        </w:rPr>
      </w:pPr>
      <w:r>
        <w:t xml:space="preserve">50-05-21-01-10 </w:t>
      </w:r>
      <w:r>
        <w:rPr>
          <w:szCs w:val="24"/>
        </w:rPr>
        <w:t>En medhjælper er overgået til månedsløn,</w:t>
      </w:r>
    </w:p>
    <w:p w:rsidR="007F1447" w:rsidRPr="00B11A55" w:rsidRDefault="007F1447" w:rsidP="007F1447">
      <w:pPr>
        <w:pStyle w:val="Ingenafstand"/>
        <w:rPr>
          <w:rFonts w:ascii="Times New Roman" w:hAnsi="Times New Roman" w:cs="Times New Roman"/>
          <w:sz w:val="24"/>
          <w:szCs w:val="24"/>
        </w:rPr>
      </w:pPr>
      <w:r w:rsidRPr="00B11A55">
        <w:rPr>
          <w:rFonts w:ascii="Times New Roman" w:hAnsi="Times New Roman" w:cs="Times New Roman"/>
          <w:sz w:val="24"/>
          <w:szCs w:val="24"/>
        </w:rPr>
        <w:t xml:space="preserve">50-05-21-15-00 Varekøb er opbrugt, til indkøb af materialer, såsom: Rengøringsvogn med udstyr, gulvpolish, indkøb af køkkenredskaber, kopper, glas og kander </w:t>
      </w:r>
      <w:proofErr w:type="gramStart"/>
      <w:r w:rsidRPr="00B11A55">
        <w:rPr>
          <w:rFonts w:ascii="Times New Roman" w:hAnsi="Times New Roman" w:cs="Times New Roman"/>
          <w:sz w:val="24"/>
          <w:szCs w:val="24"/>
        </w:rPr>
        <w:t>m.m..</w:t>
      </w:r>
      <w:proofErr w:type="gramEnd"/>
      <w:r w:rsidRPr="00B11A55">
        <w:rPr>
          <w:rFonts w:ascii="Times New Roman" w:hAnsi="Times New Roman" w:cs="Times New Roman"/>
          <w:sz w:val="24"/>
          <w:szCs w:val="24"/>
        </w:rPr>
        <w:t xml:space="preserve"> Tandbørste og tandpasta, rengøringssæbe, og artikler til børn såsom engangsvaskeklude, håndklæde m.m. osv.</w:t>
      </w:r>
    </w:p>
    <w:p w:rsidR="007F1447" w:rsidRPr="00B11A55" w:rsidRDefault="007F1447" w:rsidP="007F1447">
      <w:pPr>
        <w:rPr>
          <w:szCs w:val="24"/>
          <w:lang w:val="kl-GL"/>
        </w:rPr>
      </w:pPr>
      <w:r w:rsidRPr="00B11A55">
        <w:rPr>
          <w:szCs w:val="24"/>
        </w:rPr>
        <w:t>50-05-21-20-00 Anskaffelser af materiel og inventar er opbrugt, idet inventaret var så nedslidt, at det har været nødvendigt med en nye anskaffelser, nødvendige udskiftning af inventar på 4 stuer blev foretaget med inventar, der er tilpasset til børnene. F.eks.: Borde og stole, reoler, garderobeskabe blev udskiftet, idet man kunne får splinter på de nedslidte inventar, sofaer samt varekøb tilpasset til børn med særlige behov.</w:t>
      </w:r>
    </w:p>
    <w:p w:rsidR="007F1447" w:rsidRPr="00B11A55" w:rsidRDefault="007F1447" w:rsidP="007F1447">
      <w:pPr>
        <w:pStyle w:val="Ingenafstand"/>
        <w:rPr>
          <w:rFonts w:ascii="Times New Roman" w:hAnsi="Times New Roman" w:cs="Times New Roman"/>
          <w:sz w:val="24"/>
          <w:szCs w:val="24"/>
        </w:rPr>
      </w:pPr>
      <w:r w:rsidRPr="00B11A55">
        <w:rPr>
          <w:rFonts w:ascii="Times New Roman" w:hAnsi="Times New Roman" w:cs="Times New Roman"/>
          <w:sz w:val="24"/>
          <w:szCs w:val="24"/>
        </w:rPr>
        <w:t>50-05-21-22-00 Reparationer og vedligeholdelse, merforbruget skyldes udskiftning af lys, emhætte og komfur.</w:t>
      </w:r>
    </w:p>
    <w:p w:rsidR="007F1447" w:rsidRPr="00490CE0" w:rsidRDefault="007F1447" w:rsidP="007F1447">
      <w:pPr>
        <w:rPr>
          <w:szCs w:val="24"/>
          <w:lang w:val="kl-GL"/>
        </w:rPr>
      </w:pPr>
    </w:p>
    <w:p w:rsidR="007F1447" w:rsidRPr="00A84D0F" w:rsidRDefault="007F1447" w:rsidP="007F1447">
      <w:pPr>
        <w:rPr>
          <w:b/>
          <w:szCs w:val="24"/>
          <w:lang w:val="kl-GL"/>
        </w:rPr>
      </w:pPr>
      <w:proofErr w:type="spellStart"/>
      <w:r w:rsidRPr="00A84D0F">
        <w:rPr>
          <w:b/>
          <w:szCs w:val="24"/>
        </w:rPr>
        <w:t>Paarsi</w:t>
      </w:r>
      <w:proofErr w:type="spellEnd"/>
      <w:r w:rsidRPr="00A84D0F">
        <w:rPr>
          <w:b/>
          <w:szCs w:val="24"/>
        </w:rPr>
        <w:t xml:space="preserve"> 82,2 %</w:t>
      </w:r>
    </w:p>
    <w:p w:rsidR="007F1447" w:rsidRDefault="007F1447" w:rsidP="007F1447">
      <w:pPr>
        <w:rPr>
          <w:lang w:val="kl-GL"/>
        </w:rPr>
      </w:pPr>
      <w:r>
        <w:rPr>
          <w:szCs w:val="24"/>
        </w:rPr>
        <w:t xml:space="preserve">50-05-24-01-11 </w:t>
      </w:r>
      <w:r>
        <w:t>Merforbruget skyldes aflønning af vikar via denne konto under månedslønnedes ferie, sygedage og kursusdeltagelse.</w:t>
      </w:r>
    </w:p>
    <w:p w:rsidR="007F1447" w:rsidRPr="00040C9C" w:rsidRDefault="007F1447" w:rsidP="007F1447">
      <w:pPr>
        <w:rPr>
          <w:lang w:val="kl-GL"/>
        </w:rPr>
      </w:pPr>
      <w:r>
        <w:t xml:space="preserve">50-05-24-21-20 </w:t>
      </w:r>
      <w:proofErr w:type="gramStart"/>
      <w:r>
        <w:t>El ,</w:t>
      </w:r>
      <w:proofErr w:type="gramEnd"/>
      <w:r>
        <w:t xml:space="preserve"> forbruget er faldet efter priserne på brændstof er faldet og efter anskaffelse af solceller.</w:t>
      </w:r>
    </w:p>
    <w:p w:rsidR="007F1447" w:rsidRPr="00490CE0" w:rsidRDefault="007F1447" w:rsidP="007F1447">
      <w:pPr>
        <w:rPr>
          <w:szCs w:val="24"/>
          <w:lang w:val="kl-GL"/>
        </w:rPr>
      </w:pPr>
      <w:r>
        <w:rPr>
          <w:szCs w:val="24"/>
        </w:rPr>
        <w:t xml:space="preserve">50-05-24-22-00 </w:t>
      </w:r>
      <w:r>
        <w:t>I år blev facaden og hegnet ved legepladsen malet.</w:t>
      </w:r>
    </w:p>
    <w:p w:rsidR="007F1447" w:rsidRPr="00490CE0" w:rsidRDefault="007F1447" w:rsidP="007F1447">
      <w:pPr>
        <w:rPr>
          <w:szCs w:val="24"/>
          <w:lang w:val="kl-GL"/>
        </w:rPr>
      </w:pPr>
    </w:p>
    <w:p w:rsidR="007F1447" w:rsidRPr="00A84D0F" w:rsidRDefault="007F1447" w:rsidP="007F1447">
      <w:pPr>
        <w:rPr>
          <w:b/>
          <w:szCs w:val="24"/>
          <w:lang w:val="kl-GL"/>
        </w:rPr>
      </w:pPr>
      <w:proofErr w:type="spellStart"/>
      <w:r w:rsidRPr="00A84D0F">
        <w:rPr>
          <w:b/>
          <w:szCs w:val="24"/>
        </w:rPr>
        <w:t>Kuunnguaq</w:t>
      </w:r>
      <w:proofErr w:type="spellEnd"/>
      <w:r w:rsidRPr="00A84D0F">
        <w:rPr>
          <w:b/>
          <w:szCs w:val="24"/>
        </w:rPr>
        <w:t xml:space="preserve"> 79,7 %</w:t>
      </w:r>
    </w:p>
    <w:p w:rsidR="007F1447" w:rsidRDefault="007F1447" w:rsidP="007F1447">
      <w:pPr>
        <w:rPr>
          <w:lang w:val="kl-GL"/>
        </w:rPr>
      </w:pPr>
      <w:r>
        <w:t>50-05-25-01-11 Der har været ansat en vikar under barselsorlov, under sygemelding blandt medarbejderne der anvendes to revalidender. Der er tilknyttet støttepersoner til børn med særlige behov. I løbet af sommeren er modtaget flere børn under akutte sager, hvor vikarer har været nødvendige.</w:t>
      </w:r>
    </w:p>
    <w:p w:rsidR="007F1447" w:rsidRDefault="007F1447" w:rsidP="007F1447">
      <w:pPr>
        <w:rPr>
          <w:lang w:val="kl-GL"/>
        </w:rPr>
      </w:pPr>
      <w:r>
        <w:t>50-05-25-10-00 Kontorholdudgifter, toner til printerne har den største udgift.</w:t>
      </w:r>
    </w:p>
    <w:p w:rsidR="007F1447" w:rsidRDefault="007F1447" w:rsidP="007F1447">
      <w:pPr>
        <w:rPr>
          <w:lang w:val="kl-GL"/>
        </w:rPr>
      </w:pPr>
      <w:r>
        <w:t>50-05-25-20-00 Tørretumbleren er blevet udskiftet, hvor man også anskaffede flere senge, stole og kælke, idet der var kommet flere spædbørn, endvidere er der indkøbt store madrasser til stuerne.</w:t>
      </w:r>
    </w:p>
    <w:p w:rsidR="007F1447" w:rsidRPr="00490CE0" w:rsidRDefault="007F1447" w:rsidP="007F1447">
      <w:pPr>
        <w:rPr>
          <w:lang w:val="kl-GL"/>
        </w:rPr>
      </w:pPr>
    </w:p>
    <w:p w:rsidR="007F1447" w:rsidRPr="00A84D0F" w:rsidRDefault="007F1447" w:rsidP="007F1447">
      <w:pPr>
        <w:rPr>
          <w:b/>
          <w:lang w:val="kl-GL"/>
        </w:rPr>
      </w:pPr>
      <w:r w:rsidRPr="00A84D0F">
        <w:rPr>
          <w:b/>
        </w:rPr>
        <w:t xml:space="preserve">Naja </w:t>
      </w:r>
      <w:proofErr w:type="spellStart"/>
      <w:r w:rsidRPr="00A84D0F">
        <w:rPr>
          <w:b/>
        </w:rPr>
        <w:t>Kangaamiut</w:t>
      </w:r>
      <w:proofErr w:type="spellEnd"/>
      <w:r w:rsidRPr="00A84D0F">
        <w:rPr>
          <w:b/>
        </w:rPr>
        <w:t xml:space="preserve"> 68,1 %.</w:t>
      </w:r>
    </w:p>
    <w:p w:rsidR="007F1447" w:rsidRDefault="007F1447" w:rsidP="007F1447">
      <w:pPr>
        <w:rPr>
          <w:lang w:val="kl-GL"/>
        </w:rPr>
      </w:pPr>
      <w:r>
        <w:t>50-06-60-10-00 Kontorholdudgifter har merforbrug.</w:t>
      </w:r>
    </w:p>
    <w:p w:rsidR="007F1447" w:rsidRPr="00490CE0" w:rsidRDefault="007F1447" w:rsidP="007F1447">
      <w:pPr>
        <w:rPr>
          <w:lang w:val="kl-GL"/>
        </w:rPr>
      </w:pPr>
      <w:r>
        <w:t xml:space="preserve">50-06-60-12-00 Fremmede tjenesteydelser har </w:t>
      </w:r>
      <w:proofErr w:type="spellStart"/>
      <w:r>
        <w:t>merfobrug</w:t>
      </w:r>
      <w:proofErr w:type="spellEnd"/>
      <w:r>
        <w:t>.</w:t>
      </w:r>
    </w:p>
    <w:p w:rsidR="007F1447" w:rsidRPr="00490CE0" w:rsidRDefault="007F1447" w:rsidP="007F1447">
      <w:pPr>
        <w:rPr>
          <w:lang w:val="kl-GL"/>
        </w:rPr>
      </w:pPr>
      <w:r>
        <w:t>50-06-60-21-40 Varmeudgifter har merforbrug.</w:t>
      </w:r>
    </w:p>
    <w:p w:rsidR="007F1447" w:rsidRPr="00490CE0" w:rsidRDefault="007F1447" w:rsidP="007F1447">
      <w:pPr>
        <w:rPr>
          <w:lang w:val="kl-GL"/>
        </w:rPr>
      </w:pPr>
    </w:p>
    <w:p w:rsidR="007F1447" w:rsidRPr="00A84D0F" w:rsidRDefault="007F1447" w:rsidP="007F1447">
      <w:pPr>
        <w:rPr>
          <w:b/>
          <w:lang w:val="kl-GL"/>
        </w:rPr>
      </w:pPr>
      <w:proofErr w:type="spellStart"/>
      <w:r w:rsidRPr="00A84D0F">
        <w:rPr>
          <w:b/>
        </w:rPr>
        <w:t>Naasunnguit</w:t>
      </w:r>
      <w:proofErr w:type="spellEnd"/>
      <w:r w:rsidRPr="00A84D0F">
        <w:rPr>
          <w:b/>
        </w:rPr>
        <w:t xml:space="preserve"> </w:t>
      </w:r>
      <w:proofErr w:type="spellStart"/>
      <w:r w:rsidRPr="00A84D0F">
        <w:rPr>
          <w:b/>
        </w:rPr>
        <w:t>Napasoq</w:t>
      </w:r>
      <w:proofErr w:type="spellEnd"/>
      <w:r w:rsidRPr="00A84D0F">
        <w:rPr>
          <w:b/>
        </w:rPr>
        <w:t xml:space="preserve"> 74,3 %</w:t>
      </w:r>
    </w:p>
    <w:p w:rsidR="007F1447" w:rsidRPr="008D1958" w:rsidRDefault="007F1447" w:rsidP="007F1447">
      <w:pPr>
        <w:rPr>
          <w:bCs/>
          <w:szCs w:val="24"/>
          <w:lang w:val="kl-GL"/>
        </w:rPr>
      </w:pPr>
      <w:r>
        <w:rPr>
          <w:bCs/>
          <w:szCs w:val="24"/>
        </w:rPr>
        <w:t>50-06-70- Udgifterne pågår normalt.</w:t>
      </w:r>
    </w:p>
    <w:p w:rsidR="007F1447" w:rsidRPr="00490CE0" w:rsidRDefault="007F1447" w:rsidP="007F1447">
      <w:pPr>
        <w:rPr>
          <w:szCs w:val="24"/>
          <w:lang w:val="kl-GL"/>
        </w:rPr>
      </w:pPr>
    </w:p>
    <w:p w:rsidR="007F1447" w:rsidRPr="00A84D0F" w:rsidRDefault="007F1447" w:rsidP="007F1447">
      <w:pPr>
        <w:rPr>
          <w:b/>
          <w:szCs w:val="24"/>
          <w:lang w:val="kl-GL"/>
        </w:rPr>
      </w:pPr>
      <w:proofErr w:type="spellStart"/>
      <w:r w:rsidRPr="00A84D0F">
        <w:rPr>
          <w:b/>
          <w:szCs w:val="24"/>
        </w:rPr>
        <w:t>Meeqqat</w:t>
      </w:r>
      <w:proofErr w:type="spellEnd"/>
      <w:r w:rsidRPr="00A84D0F">
        <w:rPr>
          <w:b/>
          <w:szCs w:val="24"/>
        </w:rPr>
        <w:t xml:space="preserve"> </w:t>
      </w:r>
      <w:proofErr w:type="spellStart"/>
      <w:r w:rsidRPr="00A84D0F">
        <w:rPr>
          <w:b/>
          <w:szCs w:val="24"/>
        </w:rPr>
        <w:t>Atammik</w:t>
      </w:r>
      <w:proofErr w:type="spellEnd"/>
      <w:r w:rsidRPr="00A84D0F">
        <w:rPr>
          <w:b/>
          <w:szCs w:val="24"/>
        </w:rPr>
        <w:t xml:space="preserve"> 84,9 %</w:t>
      </w:r>
    </w:p>
    <w:p w:rsidR="007F1447" w:rsidRDefault="007F1447" w:rsidP="007F1447">
      <w:pPr>
        <w:rPr>
          <w:szCs w:val="24"/>
          <w:lang w:val="kl-GL"/>
        </w:rPr>
      </w:pPr>
      <w:r>
        <w:rPr>
          <w:szCs w:val="24"/>
        </w:rPr>
        <w:t>50-06-80-01-11 Timeløn har merforbrug grundet, at der er blevet benyttet vikarer under personalet sygedage og barsel.</w:t>
      </w:r>
    </w:p>
    <w:p w:rsidR="007F1447" w:rsidRPr="00490CE0" w:rsidRDefault="007F1447" w:rsidP="007F1447">
      <w:pPr>
        <w:tabs>
          <w:tab w:val="clear" w:pos="284"/>
        </w:tabs>
        <w:rPr>
          <w:szCs w:val="24"/>
          <w:lang w:val="kl-GL"/>
        </w:rPr>
      </w:pPr>
    </w:p>
    <w:p w:rsidR="007F1447" w:rsidRPr="00490CE0" w:rsidRDefault="007F1447" w:rsidP="007F1447">
      <w:pPr>
        <w:tabs>
          <w:tab w:val="clear" w:pos="284"/>
        </w:tabs>
        <w:rPr>
          <w:b/>
          <w:szCs w:val="24"/>
          <w:lang w:val="kl-GL"/>
        </w:rPr>
      </w:pPr>
      <w:r>
        <w:rPr>
          <w:b/>
          <w:szCs w:val="24"/>
        </w:rPr>
        <w:t>Konto 51 Skolevæsen Maniitsoq + Bygder.</w:t>
      </w:r>
    </w:p>
    <w:tbl>
      <w:tblPr>
        <w:tblW w:w="5000" w:type="pct"/>
        <w:tblCellMar>
          <w:left w:w="70" w:type="dxa"/>
          <w:right w:w="70" w:type="dxa"/>
        </w:tblCellMar>
        <w:tblLook w:val="04A0" w:firstRow="1" w:lastRow="0" w:firstColumn="1" w:lastColumn="0" w:noHBand="0" w:noVBand="1"/>
      </w:tblPr>
      <w:tblGrid>
        <w:gridCol w:w="792"/>
        <w:gridCol w:w="2337"/>
        <w:gridCol w:w="921"/>
        <w:gridCol w:w="921"/>
        <w:gridCol w:w="1038"/>
        <w:gridCol w:w="936"/>
        <w:gridCol w:w="920"/>
        <w:gridCol w:w="920"/>
        <w:gridCol w:w="843"/>
      </w:tblGrid>
      <w:tr w:rsidR="007F1447" w:rsidRPr="00541279" w:rsidTr="008817BA">
        <w:trPr>
          <w:trHeight w:val="255"/>
        </w:trPr>
        <w:tc>
          <w:tcPr>
            <w:tcW w:w="411" w:type="pct"/>
            <w:tcBorders>
              <w:top w:val="single" w:sz="4" w:space="0" w:color="auto"/>
              <w:left w:val="single" w:sz="4" w:space="0" w:color="auto"/>
              <w:bottom w:val="nil"/>
              <w:right w:val="nil"/>
            </w:tcBorders>
            <w:shd w:val="clear" w:color="000000" w:fill="D9D9D9"/>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1213" w:type="pct"/>
            <w:tcBorders>
              <w:top w:val="single" w:sz="4" w:space="0" w:color="auto"/>
              <w:left w:val="single" w:sz="4" w:space="0" w:color="auto"/>
              <w:bottom w:val="nil"/>
              <w:right w:val="single" w:sz="4" w:space="0" w:color="auto"/>
            </w:tcBorders>
            <w:shd w:val="clear" w:color="000000" w:fill="D9D9D9"/>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478" w:type="pct"/>
            <w:tcBorders>
              <w:top w:val="single" w:sz="4" w:space="0" w:color="auto"/>
              <w:left w:val="nil"/>
              <w:bottom w:val="nil"/>
              <w:right w:val="nil"/>
            </w:tcBorders>
            <w:shd w:val="clear" w:color="000000" w:fill="D9D9D9"/>
            <w:noWrap/>
            <w:hideMark/>
          </w:tcPr>
          <w:p w:rsidR="007F1447" w:rsidRPr="00541279"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Budget</w:t>
            </w:r>
          </w:p>
        </w:tc>
        <w:tc>
          <w:tcPr>
            <w:tcW w:w="478" w:type="pct"/>
            <w:tcBorders>
              <w:top w:val="single" w:sz="4" w:space="0" w:color="auto"/>
              <w:left w:val="nil"/>
              <w:bottom w:val="nil"/>
              <w:right w:val="nil"/>
            </w:tcBorders>
            <w:shd w:val="clear" w:color="000000" w:fill="D9D9D9"/>
            <w:noWrap/>
            <w:hideMark/>
          </w:tcPr>
          <w:p w:rsidR="007F1447" w:rsidRPr="00541279"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Tillæg</w:t>
            </w:r>
          </w:p>
        </w:tc>
        <w:tc>
          <w:tcPr>
            <w:tcW w:w="539" w:type="pct"/>
            <w:tcBorders>
              <w:top w:val="single" w:sz="4" w:space="0" w:color="auto"/>
              <w:left w:val="nil"/>
              <w:bottom w:val="nil"/>
              <w:right w:val="nil"/>
            </w:tcBorders>
            <w:shd w:val="clear" w:color="000000" w:fill="D9D9D9"/>
            <w:noWrap/>
            <w:hideMark/>
          </w:tcPr>
          <w:p w:rsidR="007F1447" w:rsidRPr="00541279" w:rsidRDefault="007F1447" w:rsidP="008817BA">
            <w:pPr>
              <w:tabs>
                <w:tab w:val="clear" w:pos="284"/>
              </w:tabs>
              <w:jc w:val="center"/>
              <w:rPr>
                <w:rFonts w:ascii="Arial Narrow" w:hAnsi="Arial Narrow" w:cs="Arial"/>
                <w:b/>
                <w:bCs/>
                <w:color w:val="000000"/>
                <w:sz w:val="20"/>
              </w:rPr>
            </w:pPr>
            <w:proofErr w:type="spellStart"/>
            <w:r>
              <w:rPr>
                <w:rFonts w:ascii="Arial Narrow" w:hAnsi="Arial Narrow" w:cs="Arial"/>
                <w:b/>
                <w:bCs/>
                <w:color w:val="000000"/>
                <w:sz w:val="20"/>
              </w:rPr>
              <w:t>Omplac</w:t>
            </w:r>
            <w:proofErr w:type="spellEnd"/>
            <w:r>
              <w:rPr>
                <w:rFonts w:ascii="Arial Narrow" w:hAnsi="Arial Narrow" w:cs="Arial"/>
                <w:b/>
                <w:bCs/>
                <w:color w:val="000000"/>
                <w:sz w:val="20"/>
              </w:rPr>
              <w:t>.</w:t>
            </w:r>
          </w:p>
        </w:tc>
        <w:tc>
          <w:tcPr>
            <w:tcW w:w="486" w:type="pct"/>
            <w:tcBorders>
              <w:top w:val="single" w:sz="4" w:space="0" w:color="auto"/>
              <w:left w:val="nil"/>
              <w:bottom w:val="nil"/>
              <w:right w:val="nil"/>
            </w:tcBorders>
            <w:shd w:val="clear" w:color="000000" w:fill="D9D9D9"/>
            <w:noWrap/>
            <w:hideMark/>
          </w:tcPr>
          <w:p w:rsidR="007F1447" w:rsidRPr="00541279"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Bevilling</w:t>
            </w:r>
          </w:p>
        </w:tc>
        <w:tc>
          <w:tcPr>
            <w:tcW w:w="478" w:type="pct"/>
            <w:tcBorders>
              <w:top w:val="single" w:sz="4" w:space="0" w:color="auto"/>
              <w:left w:val="nil"/>
              <w:bottom w:val="nil"/>
              <w:right w:val="nil"/>
            </w:tcBorders>
            <w:shd w:val="clear" w:color="000000" w:fill="D9D9D9"/>
            <w:noWrap/>
            <w:hideMark/>
          </w:tcPr>
          <w:p w:rsidR="007F1447" w:rsidRPr="00541279"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Forbrug</w:t>
            </w:r>
          </w:p>
        </w:tc>
        <w:tc>
          <w:tcPr>
            <w:tcW w:w="478" w:type="pct"/>
            <w:tcBorders>
              <w:top w:val="single" w:sz="4" w:space="0" w:color="auto"/>
              <w:left w:val="nil"/>
              <w:bottom w:val="nil"/>
              <w:right w:val="nil"/>
            </w:tcBorders>
            <w:shd w:val="clear" w:color="000000" w:fill="D9D9D9"/>
            <w:noWrap/>
            <w:hideMark/>
          </w:tcPr>
          <w:p w:rsidR="007F1447" w:rsidRPr="00541279"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Rest</w:t>
            </w:r>
          </w:p>
        </w:tc>
        <w:tc>
          <w:tcPr>
            <w:tcW w:w="438" w:type="pct"/>
            <w:tcBorders>
              <w:top w:val="single" w:sz="4" w:space="0" w:color="auto"/>
              <w:left w:val="single" w:sz="4" w:space="0" w:color="auto"/>
              <w:bottom w:val="nil"/>
              <w:right w:val="single" w:sz="4" w:space="0" w:color="auto"/>
            </w:tcBorders>
            <w:shd w:val="clear" w:color="000000" w:fill="D9D9D9"/>
            <w:noWrap/>
            <w:hideMark/>
          </w:tcPr>
          <w:p w:rsidR="007F1447" w:rsidRPr="00541279"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Forbrug</w:t>
            </w:r>
          </w:p>
        </w:tc>
      </w:tr>
      <w:tr w:rsidR="007F1447" w:rsidRPr="00541279" w:rsidTr="008817BA">
        <w:trPr>
          <w:trHeight w:val="255"/>
        </w:trPr>
        <w:tc>
          <w:tcPr>
            <w:tcW w:w="411" w:type="pct"/>
            <w:tcBorders>
              <w:top w:val="nil"/>
              <w:left w:val="single" w:sz="4" w:space="0" w:color="auto"/>
              <w:bottom w:val="single" w:sz="4" w:space="0" w:color="auto"/>
              <w:right w:val="nil"/>
            </w:tcBorders>
            <w:shd w:val="clear" w:color="000000" w:fill="D9D9D9"/>
            <w:noWrap/>
            <w:hideMark/>
          </w:tcPr>
          <w:p w:rsidR="007F1447" w:rsidRPr="00541279"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Konto</w:t>
            </w:r>
          </w:p>
        </w:tc>
        <w:tc>
          <w:tcPr>
            <w:tcW w:w="1213" w:type="pct"/>
            <w:tcBorders>
              <w:top w:val="nil"/>
              <w:left w:val="single" w:sz="4" w:space="0" w:color="auto"/>
              <w:bottom w:val="single" w:sz="4" w:space="0" w:color="auto"/>
              <w:right w:val="single" w:sz="4" w:space="0" w:color="auto"/>
            </w:tcBorders>
            <w:shd w:val="clear" w:color="000000" w:fill="D9D9D9"/>
            <w:noWrap/>
            <w:hideMark/>
          </w:tcPr>
          <w:p w:rsidR="007F1447" w:rsidRPr="00541279"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Kontonavn</w:t>
            </w:r>
          </w:p>
        </w:tc>
        <w:tc>
          <w:tcPr>
            <w:tcW w:w="478" w:type="pct"/>
            <w:tcBorders>
              <w:top w:val="nil"/>
              <w:left w:val="nil"/>
              <w:bottom w:val="single" w:sz="4" w:space="0" w:color="auto"/>
              <w:right w:val="nil"/>
            </w:tcBorders>
            <w:shd w:val="clear" w:color="000000" w:fill="D9D9D9"/>
            <w:hideMark/>
          </w:tcPr>
          <w:p w:rsidR="007F1447" w:rsidRPr="00541279"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(1.000 kr.)</w:t>
            </w:r>
          </w:p>
        </w:tc>
        <w:tc>
          <w:tcPr>
            <w:tcW w:w="478" w:type="pct"/>
            <w:tcBorders>
              <w:top w:val="nil"/>
              <w:left w:val="nil"/>
              <w:bottom w:val="single" w:sz="4" w:space="0" w:color="auto"/>
              <w:right w:val="nil"/>
            </w:tcBorders>
            <w:shd w:val="clear" w:color="000000" w:fill="D9D9D9"/>
            <w:hideMark/>
          </w:tcPr>
          <w:p w:rsidR="007F1447" w:rsidRPr="00541279"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(1.000 kr.)</w:t>
            </w:r>
          </w:p>
        </w:tc>
        <w:tc>
          <w:tcPr>
            <w:tcW w:w="539" w:type="pct"/>
            <w:tcBorders>
              <w:top w:val="nil"/>
              <w:left w:val="nil"/>
              <w:bottom w:val="single" w:sz="4" w:space="0" w:color="auto"/>
              <w:right w:val="nil"/>
            </w:tcBorders>
            <w:shd w:val="clear" w:color="000000" w:fill="D9D9D9"/>
            <w:hideMark/>
          </w:tcPr>
          <w:p w:rsidR="007F1447" w:rsidRPr="00541279"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(1.000 kr.)</w:t>
            </w:r>
          </w:p>
        </w:tc>
        <w:tc>
          <w:tcPr>
            <w:tcW w:w="486" w:type="pct"/>
            <w:tcBorders>
              <w:top w:val="nil"/>
              <w:left w:val="nil"/>
              <w:bottom w:val="single" w:sz="4" w:space="0" w:color="auto"/>
              <w:right w:val="nil"/>
            </w:tcBorders>
            <w:shd w:val="clear" w:color="000000" w:fill="D9D9D9"/>
            <w:hideMark/>
          </w:tcPr>
          <w:p w:rsidR="007F1447" w:rsidRPr="00541279"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(1.000 kr.)</w:t>
            </w:r>
          </w:p>
        </w:tc>
        <w:tc>
          <w:tcPr>
            <w:tcW w:w="478" w:type="pct"/>
            <w:tcBorders>
              <w:top w:val="nil"/>
              <w:left w:val="nil"/>
              <w:bottom w:val="single" w:sz="4" w:space="0" w:color="auto"/>
              <w:right w:val="nil"/>
            </w:tcBorders>
            <w:shd w:val="clear" w:color="000000" w:fill="D9D9D9"/>
            <w:hideMark/>
          </w:tcPr>
          <w:p w:rsidR="007F1447" w:rsidRPr="00541279"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(1.000 kr.)</w:t>
            </w:r>
          </w:p>
        </w:tc>
        <w:tc>
          <w:tcPr>
            <w:tcW w:w="478" w:type="pct"/>
            <w:tcBorders>
              <w:top w:val="nil"/>
              <w:left w:val="nil"/>
              <w:bottom w:val="single" w:sz="4" w:space="0" w:color="auto"/>
              <w:right w:val="nil"/>
            </w:tcBorders>
            <w:shd w:val="clear" w:color="000000" w:fill="D9D9D9"/>
            <w:hideMark/>
          </w:tcPr>
          <w:p w:rsidR="007F1447" w:rsidRPr="00541279"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(1.000 kr.)</w:t>
            </w:r>
          </w:p>
        </w:tc>
        <w:tc>
          <w:tcPr>
            <w:tcW w:w="438" w:type="pct"/>
            <w:tcBorders>
              <w:top w:val="nil"/>
              <w:left w:val="single" w:sz="4" w:space="0" w:color="auto"/>
              <w:bottom w:val="single" w:sz="4" w:space="0" w:color="auto"/>
              <w:right w:val="single" w:sz="4" w:space="0" w:color="auto"/>
            </w:tcBorders>
            <w:shd w:val="clear" w:color="000000" w:fill="D9D9D9"/>
            <w:noWrap/>
            <w:hideMark/>
          </w:tcPr>
          <w:p w:rsidR="007F1447" w:rsidRPr="00541279"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i %</w:t>
            </w:r>
          </w:p>
        </w:tc>
      </w:tr>
      <w:tr w:rsidR="007F1447" w:rsidRPr="00541279" w:rsidTr="008817BA">
        <w:trPr>
          <w:trHeight w:val="255"/>
        </w:trPr>
        <w:tc>
          <w:tcPr>
            <w:tcW w:w="411" w:type="pct"/>
            <w:tcBorders>
              <w:top w:val="nil"/>
              <w:left w:val="single" w:sz="4" w:space="0" w:color="auto"/>
              <w:bottom w:val="nil"/>
              <w:right w:val="nil"/>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1213" w:type="pct"/>
            <w:tcBorders>
              <w:top w:val="nil"/>
              <w:left w:val="single" w:sz="4" w:space="0" w:color="auto"/>
              <w:bottom w:val="nil"/>
              <w:right w:val="single" w:sz="4" w:space="0" w:color="auto"/>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rPr>
                <w:sz w:val="20"/>
              </w:rPr>
            </w:pPr>
          </w:p>
        </w:tc>
        <w:tc>
          <w:tcPr>
            <w:tcW w:w="539" w:type="pct"/>
            <w:tcBorders>
              <w:top w:val="nil"/>
              <w:left w:val="nil"/>
              <w:bottom w:val="nil"/>
              <w:right w:val="nil"/>
            </w:tcBorders>
            <w:shd w:val="clear" w:color="auto" w:fill="auto"/>
            <w:noWrap/>
            <w:hideMark/>
          </w:tcPr>
          <w:p w:rsidR="007F1447" w:rsidRPr="00541279" w:rsidRDefault="007F1447" w:rsidP="008817BA">
            <w:pPr>
              <w:tabs>
                <w:tab w:val="clear" w:pos="284"/>
              </w:tabs>
              <w:rPr>
                <w:sz w:val="20"/>
              </w:rPr>
            </w:pPr>
          </w:p>
        </w:tc>
        <w:tc>
          <w:tcPr>
            <w:tcW w:w="486" w:type="pct"/>
            <w:tcBorders>
              <w:top w:val="nil"/>
              <w:left w:val="nil"/>
              <w:bottom w:val="nil"/>
              <w:right w:val="nil"/>
            </w:tcBorders>
            <w:shd w:val="clear" w:color="auto" w:fill="auto"/>
            <w:noWrap/>
            <w:hideMark/>
          </w:tcPr>
          <w:p w:rsidR="007F1447" w:rsidRPr="00541279" w:rsidRDefault="007F1447" w:rsidP="008817BA">
            <w:pPr>
              <w:tabs>
                <w:tab w:val="clear" w:pos="284"/>
              </w:tabs>
              <w:rPr>
                <w:sz w:val="20"/>
              </w:rPr>
            </w:pP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rPr>
                <w:sz w:val="20"/>
              </w:rPr>
            </w:pP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rPr>
                <w:sz w:val="20"/>
              </w:rPr>
            </w:pPr>
          </w:p>
        </w:tc>
        <w:tc>
          <w:tcPr>
            <w:tcW w:w="438" w:type="pct"/>
            <w:tcBorders>
              <w:top w:val="nil"/>
              <w:left w:val="single" w:sz="4" w:space="0" w:color="auto"/>
              <w:bottom w:val="nil"/>
              <w:right w:val="single" w:sz="4" w:space="0" w:color="auto"/>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r>
      <w:tr w:rsidR="007F1447" w:rsidRPr="00541279" w:rsidTr="008817BA">
        <w:trPr>
          <w:trHeight w:val="255"/>
        </w:trPr>
        <w:tc>
          <w:tcPr>
            <w:tcW w:w="411" w:type="pct"/>
            <w:tcBorders>
              <w:top w:val="nil"/>
              <w:left w:val="single" w:sz="4" w:space="0" w:color="auto"/>
              <w:bottom w:val="nil"/>
              <w:right w:val="nil"/>
            </w:tcBorders>
            <w:shd w:val="clear" w:color="auto" w:fill="auto"/>
            <w:noWrap/>
            <w:hideMark/>
          </w:tcPr>
          <w:p w:rsidR="007F1447" w:rsidRPr="00541279"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51</w:t>
            </w:r>
          </w:p>
        </w:tc>
        <w:tc>
          <w:tcPr>
            <w:tcW w:w="1213" w:type="pct"/>
            <w:tcBorders>
              <w:top w:val="nil"/>
              <w:left w:val="single" w:sz="4" w:space="0" w:color="auto"/>
              <w:bottom w:val="nil"/>
              <w:right w:val="single" w:sz="4" w:space="0" w:color="auto"/>
            </w:tcBorders>
            <w:shd w:val="clear" w:color="auto" w:fill="auto"/>
            <w:noWrap/>
            <w:hideMark/>
          </w:tcPr>
          <w:p w:rsidR="007F1447" w:rsidRPr="00541279"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SKOLEVÆSENET</w:t>
            </w: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rPr>
                <w:rFonts w:ascii="Arial Narrow" w:hAnsi="Arial Narrow" w:cs="Arial"/>
                <w:b/>
                <w:bCs/>
                <w:color w:val="000000"/>
                <w:sz w:val="20"/>
              </w:rPr>
            </w:pP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rPr>
                <w:sz w:val="20"/>
              </w:rPr>
            </w:pPr>
          </w:p>
        </w:tc>
        <w:tc>
          <w:tcPr>
            <w:tcW w:w="539" w:type="pct"/>
            <w:tcBorders>
              <w:top w:val="nil"/>
              <w:left w:val="nil"/>
              <w:bottom w:val="nil"/>
              <w:right w:val="nil"/>
            </w:tcBorders>
            <w:shd w:val="clear" w:color="auto" w:fill="auto"/>
            <w:noWrap/>
            <w:hideMark/>
          </w:tcPr>
          <w:p w:rsidR="007F1447" w:rsidRPr="00541279" w:rsidRDefault="007F1447" w:rsidP="008817BA">
            <w:pPr>
              <w:tabs>
                <w:tab w:val="clear" w:pos="284"/>
              </w:tabs>
              <w:rPr>
                <w:sz w:val="20"/>
              </w:rPr>
            </w:pPr>
          </w:p>
        </w:tc>
        <w:tc>
          <w:tcPr>
            <w:tcW w:w="486" w:type="pct"/>
            <w:tcBorders>
              <w:top w:val="nil"/>
              <w:left w:val="nil"/>
              <w:bottom w:val="nil"/>
              <w:right w:val="nil"/>
            </w:tcBorders>
            <w:shd w:val="clear" w:color="auto" w:fill="auto"/>
            <w:noWrap/>
            <w:hideMark/>
          </w:tcPr>
          <w:p w:rsidR="007F1447" w:rsidRPr="00541279" w:rsidRDefault="007F1447" w:rsidP="008817BA">
            <w:pPr>
              <w:tabs>
                <w:tab w:val="clear" w:pos="284"/>
              </w:tabs>
              <w:rPr>
                <w:sz w:val="20"/>
              </w:rPr>
            </w:pP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rPr>
                <w:sz w:val="20"/>
              </w:rPr>
            </w:pP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rPr>
                <w:sz w:val="20"/>
              </w:rPr>
            </w:pPr>
          </w:p>
        </w:tc>
        <w:tc>
          <w:tcPr>
            <w:tcW w:w="438" w:type="pct"/>
            <w:tcBorders>
              <w:top w:val="nil"/>
              <w:left w:val="single" w:sz="4" w:space="0" w:color="auto"/>
              <w:bottom w:val="nil"/>
              <w:right w:val="single" w:sz="4" w:space="0" w:color="auto"/>
            </w:tcBorders>
            <w:shd w:val="clear" w:color="auto" w:fill="auto"/>
            <w:noWrap/>
            <w:hideMark/>
          </w:tcPr>
          <w:p w:rsidR="007F1447" w:rsidRPr="00541279"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 </w:t>
            </w:r>
          </w:p>
        </w:tc>
      </w:tr>
      <w:tr w:rsidR="007F1447" w:rsidRPr="00541279" w:rsidTr="008817BA">
        <w:trPr>
          <w:trHeight w:val="255"/>
        </w:trPr>
        <w:tc>
          <w:tcPr>
            <w:tcW w:w="411" w:type="pct"/>
            <w:tcBorders>
              <w:top w:val="nil"/>
              <w:left w:val="single" w:sz="4" w:space="0" w:color="auto"/>
              <w:bottom w:val="nil"/>
              <w:right w:val="nil"/>
            </w:tcBorders>
            <w:shd w:val="clear" w:color="auto" w:fill="auto"/>
            <w:noWrap/>
            <w:hideMark/>
          </w:tcPr>
          <w:p w:rsidR="007F1447" w:rsidRPr="00541279"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51-01</w:t>
            </w:r>
          </w:p>
        </w:tc>
        <w:tc>
          <w:tcPr>
            <w:tcW w:w="1213" w:type="pct"/>
            <w:tcBorders>
              <w:top w:val="nil"/>
              <w:left w:val="single" w:sz="4" w:space="0" w:color="auto"/>
              <w:bottom w:val="nil"/>
              <w:right w:val="single" w:sz="4" w:space="0" w:color="auto"/>
            </w:tcBorders>
            <w:shd w:val="clear" w:color="auto" w:fill="auto"/>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DEN KOMMUNALE SKOLE</w:t>
            </w: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44.984</w:t>
            </w: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539"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86"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44.984</w:t>
            </w: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30.672</w:t>
            </w: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14.312</w:t>
            </w:r>
          </w:p>
        </w:tc>
        <w:tc>
          <w:tcPr>
            <w:tcW w:w="438" w:type="pct"/>
            <w:tcBorders>
              <w:top w:val="nil"/>
              <w:left w:val="single" w:sz="4" w:space="0" w:color="auto"/>
              <w:bottom w:val="nil"/>
              <w:right w:val="single" w:sz="4" w:space="0" w:color="auto"/>
            </w:tcBorders>
            <w:shd w:val="clear" w:color="auto" w:fill="auto"/>
            <w:noWrap/>
            <w:hideMark/>
          </w:tcPr>
          <w:p w:rsidR="007F1447" w:rsidRPr="00541279"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68,2</w:t>
            </w:r>
          </w:p>
        </w:tc>
      </w:tr>
      <w:tr w:rsidR="007F1447" w:rsidRPr="00541279" w:rsidTr="008817BA">
        <w:trPr>
          <w:trHeight w:val="255"/>
        </w:trPr>
        <w:tc>
          <w:tcPr>
            <w:tcW w:w="411" w:type="pct"/>
            <w:tcBorders>
              <w:top w:val="nil"/>
              <w:left w:val="single" w:sz="4" w:space="0" w:color="auto"/>
              <w:bottom w:val="nil"/>
              <w:right w:val="nil"/>
            </w:tcBorders>
            <w:shd w:val="clear" w:color="auto" w:fill="auto"/>
            <w:noWrap/>
            <w:hideMark/>
          </w:tcPr>
          <w:p w:rsidR="007F1447" w:rsidRPr="00541279"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51-11</w:t>
            </w:r>
          </w:p>
        </w:tc>
        <w:tc>
          <w:tcPr>
            <w:tcW w:w="1213" w:type="pct"/>
            <w:tcBorders>
              <w:top w:val="nil"/>
              <w:left w:val="single" w:sz="4" w:space="0" w:color="auto"/>
              <w:bottom w:val="nil"/>
              <w:right w:val="single" w:sz="4" w:space="0" w:color="auto"/>
            </w:tcBorders>
            <w:shd w:val="clear" w:color="auto" w:fill="auto"/>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xml:space="preserve">KOLLIGIER OG SKOLE </w:t>
            </w: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2.754</w:t>
            </w: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539"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86"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2.754</w:t>
            </w: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2.124</w:t>
            </w: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630</w:t>
            </w:r>
          </w:p>
        </w:tc>
        <w:tc>
          <w:tcPr>
            <w:tcW w:w="438" w:type="pct"/>
            <w:tcBorders>
              <w:top w:val="nil"/>
              <w:left w:val="single" w:sz="4" w:space="0" w:color="auto"/>
              <w:bottom w:val="nil"/>
              <w:right w:val="single" w:sz="4" w:space="0" w:color="auto"/>
            </w:tcBorders>
            <w:shd w:val="clear" w:color="auto" w:fill="auto"/>
            <w:noWrap/>
            <w:hideMark/>
          </w:tcPr>
          <w:p w:rsidR="007F1447" w:rsidRPr="00541279"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77,1</w:t>
            </w:r>
          </w:p>
        </w:tc>
      </w:tr>
      <w:tr w:rsidR="007F1447" w:rsidRPr="00541279" w:rsidTr="008817BA">
        <w:trPr>
          <w:trHeight w:val="255"/>
        </w:trPr>
        <w:tc>
          <w:tcPr>
            <w:tcW w:w="411" w:type="pct"/>
            <w:tcBorders>
              <w:top w:val="nil"/>
              <w:left w:val="single" w:sz="4" w:space="0" w:color="auto"/>
              <w:bottom w:val="nil"/>
              <w:right w:val="nil"/>
            </w:tcBorders>
            <w:shd w:val="clear" w:color="auto" w:fill="auto"/>
            <w:noWrap/>
            <w:hideMark/>
          </w:tcPr>
          <w:p w:rsidR="007F1447" w:rsidRPr="00541279"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 </w:t>
            </w:r>
          </w:p>
        </w:tc>
        <w:tc>
          <w:tcPr>
            <w:tcW w:w="1213" w:type="pct"/>
            <w:tcBorders>
              <w:top w:val="nil"/>
              <w:left w:val="single" w:sz="4" w:space="0" w:color="auto"/>
              <w:bottom w:val="nil"/>
              <w:right w:val="single" w:sz="4" w:space="0" w:color="auto"/>
            </w:tcBorders>
            <w:shd w:val="clear" w:color="auto" w:fill="auto"/>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HJEM</w:t>
            </w: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sz w:val="20"/>
              </w:rPr>
            </w:pPr>
          </w:p>
        </w:tc>
        <w:tc>
          <w:tcPr>
            <w:tcW w:w="539" w:type="pct"/>
            <w:tcBorders>
              <w:top w:val="nil"/>
              <w:left w:val="nil"/>
              <w:bottom w:val="nil"/>
              <w:right w:val="nil"/>
            </w:tcBorders>
            <w:shd w:val="clear" w:color="auto" w:fill="auto"/>
            <w:noWrap/>
            <w:hideMark/>
          </w:tcPr>
          <w:p w:rsidR="007F1447" w:rsidRPr="00541279" w:rsidRDefault="007F1447" w:rsidP="008817BA">
            <w:pPr>
              <w:tabs>
                <w:tab w:val="clear" w:pos="284"/>
              </w:tabs>
              <w:rPr>
                <w:sz w:val="20"/>
              </w:rPr>
            </w:pPr>
          </w:p>
        </w:tc>
        <w:tc>
          <w:tcPr>
            <w:tcW w:w="486" w:type="pct"/>
            <w:tcBorders>
              <w:top w:val="nil"/>
              <w:left w:val="nil"/>
              <w:bottom w:val="nil"/>
              <w:right w:val="nil"/>
            </w:tcBorders>
            <w:shd w:val="clear" w:color="auto" w:fill="auto"/>
            <w:noWrap/>
            <w:hideMark/>
          </w:tcPr>
          <w:p w:rsidR="007F1447" w:rsidRPr="00541279" w:rsidRDefault="007F1447" w:rsidP="008817BA">
            <w:pPr>
              <w:tabs>
                <w:tab w:val="clear" w:pos="284"/>
              </w:tabs>
              <w:rPr>
                <w:sz w:val="20"/>
              </w:rPr>
            </w:pP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sz w:val="20"/>
              </w:rPr>
            </w:pP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rPr>
                <w:sz w:val="20"/>
              </w:rPr>
            </w:pPr>
          </w:p>
        </w:tc>
        <w:tc>
          <w:tcPr>
            <w:tcW w:w="438" w:type="pct"/>
            <w:tcBorders>
              <w:top w:val="nil"/>
              <w:left w:val="single" w:sz="4" w:space="0" w:color="auto"/>
              <w:bottom w:val="nil"/>
              <w:right w:val="single" w:sz="4" w:space="0" w:color="auto"/>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r>
      <w:tr w:rsidR="007F1447" w:rsidRPr="00541279" w:rsidTr="008817BA">
        <w:trPr>
          <w:trHeight w:val="255"/>
        </w:trPr>
        <w:tc>
          <w:tcPr>
            <w:tcW w:w="411" w:type="pct"/>
            <w:tcBorders>
              <w:top w:val="single" w:sz="4" w:space="0" w:color="auto"/>
              <w:left w:val="single" w:sz="4" w:space="0" w:color="auto"/>
              <w:bottom w:val="nil"/>
              <w:right w:val="nil"/>
            </w:tcBorders>
            <w:shd w:val="clear" w:color="auto" w:fill="auto"/>
            <w:noWrap/>
            <w:hideMark/>
          </w:tcPr>
          <w:p w:rsidR="007F1447" w:rsidRPr="00541279"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 </w:t>
            </w:r>
          </w:p>
        </w:tc>
        <w:tc>
          <w:tcPr>
            <w:tcW w:w="1213" w:type="pct"/>
            <w:tcBorders>
              <w:top w:val="single" w:sz="4" w:space="0" w:color="auto"/>
              <w:left w:val="single" w:sz="4" w:space="0" w:color="auto"/>
              <w:bottom w:val="nil"/>
              <w:right w:val="single" w:sz="4" w:space="0" w:color="auto"/>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478" w:type="pct"/>
            <w:tcBorders>
              <w:top w:val="single" w:sz="4" w:space="0" w:color="auto"/>
              <w:left w:val="nil"/>
              <w:bottom w:val="nil"/>
              <w:right w:val="nil"/>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478" w:type="pct"/>
            <w:tcBorders>
              <w:top w:val="single" w:sz="4" w:space="0" w:color="auto"/>
              <w:left w:val="nil"/>
              <w:bottom w:val="nil"/>
              <w:right w:val="nil"/>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539" w:type="pct"/>
            <w:tcBorders>
              <w:top w:val="single" w:sz="4" w:space="0" w:color="auto"/>
              <w:left w:val="nil"/>
              <w:bottom w:val="nil"/>
              <w:right w:val="nil"/>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486" w:type="pct"/>
            <w:tcBorders>
              <w:top w:val="single" w:sz="4" w:space="0" w:color="auto"/>
              <w:left w:val="nil"/>
              <w:bottom w:val="nil"/>
              <w:right w:val="nil"/>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478" w:type="pct"/>
            <w:tcBorders>
              <w:top w:val="single" w:sz="4" w:space="0" w:color="auto"/>
              <w:left w:val="nil"/>
              <w:bottom w:val="nil"/>
              <w:right w:val="nil"/>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478" w:type="pct"/>
            <w:tcBorders>
              <w:top w:val="single" w:sz="4" w:space="0" w:color="auto"/>
              <w:left w:val="nil"/>
              <w:bottom w:val="nil"/>
              <w:right w:val="nil"/>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438" w:type="pct"/>
            <w:tcBorders>
              <w:top w:val="single" w:sz="4" w:space="0" w:color="auto"/>
              <w:left w:val="single" w:sz="4" w:space="0" w:color="auto"/>
              <w:bottom w:val="nil"/>
              <w:right w:val="single" w:sz="4" w:space="0" w:color="auto"/>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r>
      <w:tr w:rsidR="007F1447" w:rsidRPr="00541279" w:rsidTr="008817BA">
        <w:trPr>
          <w:trHeight w:val="255"/>
        </w:trPr>
        <w:tc>
          <w:tcPr>
            <w:tcW w:w="411" w:type="pct"/>
            <w:tcBorders>
              <w:top w:val="nil"/>
              <w:left w:val="single" w:sz="4" w:space="0" w:color="auto"/>
              <w:bottom w:val="nil"/>
              <w:right w:val="nil"/>
            </w:tcBorders>
            <w:shd w:val="clear" w:color="auto" w:fill="auto"/>
            <w:noWrap/>
            <w:hideMark/>
          </w:tcPr>
          <w:p w:rsidR="007F1447" w:rsidRPr="00541279"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51</w:t>
            </w:r>
          </w:p>
        </w:tc>
        <w:tc>
          <w:tcPr>
            <w:tcW w:w="1213" w:type="pct"/>
            <w:tcBorders>
              <w:top w:val="nil"/>
              <w:left w:val="single" w:sz="4" w:space="0" w:color="auto"/>
              <w:bottom w:val="nil"/>
              <w:right w:val="single" w:sz="4" w:space="0" w:color="auto"/>
            </w:tcBorders>
            <w:shd w:val="clear" w:color="auto" w:fill="auto"/>
            <w:noWrap/>
            <w:hideMark/>
          </w:tcPr>
          <w:p w:rsidR="007F1447" w:rsidRPr="00541279"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SKOLEVÆSENET</w:t>
            </w: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48.888</w:t>
            </w: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0</w:t>
            </w:r>
          </w:p>
        </w:tc>
        <w:tc>
          <w:tcPr>
            <w:tcW w:w="539"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0</w:t>
            </w:r>
          </w:p>
        </w:tc>
        <w:tc>
          <w:tcPr>
            <w:tcW w:w="486"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48.888</w:t>
            </w: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33.206</w:t>
            </w:r>
          </w:p>
        </w:tc>
        <w:tc>
          <w:tcPr>
            <w:tcW w:w="478" w:type="pct"/>
            <w:tcBorders>
              <w:top w:val="nil"/>
              <w:left w:val="nil"/>
              <w:bottom w:val="nil"/>
              <w:right w:val="nil"/>
            </w:tcBorders>
            <w:shd w:val="clear" w:color="auto" w:fill="auto"/>
            <w:noWrap/>
            <w:hideMark/>
          </w:tcPr>
          <w:p w:rsidR="007F1447" w:rsidRPr="00541279"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15.682</w:t>
            </w:r>
          </w:p>
        </w:tc>
        <w:tc>
          <w:tcPr>
            <w:tcW w:w="438" w:type="pct"/>
            <w:tcBorders>
              <w:top w:val="nil"/>
              <w:left w:val="single" w:sz="4" w:space="0" w:color="auto"/>
              <w:bottom w:val="nil"/>
              <w:right w:val="single" w:sz="4" w:space="0" w:color="auto"/>
            </w:tcBorders>
            <w:shd w:val="clear" w:color="auto" w:fill="auto"/>
            <w:noWrap/>
            <w:hideMark/>
          </w:tcPr>
          <w:p w:rsidR="007F1447" w:rsidRPr="00541279"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67,9</w:t>
            </w:r>
          </w:p>
        </w:tc>
      </w:tr>
      <w:tr w:rsidR="007F1447" w:rsidRPr="00541279" w:rsidTr="008817BA">
        <w:trPr>
          <w:trHeight w:val="255"/>
        </w:trPr>
        <w:tc>
          <w:tcPr>
            <w:tcW w:w="411" w:type="pct"/>
            <w:tcBorders>
              <w:top w:val="nil"/>
              <w:left w:val="single" w:sz="4" w:space="0" w:color="auto"/>
              <w:bottom w:val="single" w:sz="4" w:space="0" w:color="auto"/>
              <w:right w:val="nil"/>
            </w:tcBorders>
            <w:shd w:val="clear" w:color="auto" w:fill="auto"/>
            <w:noWrap/>
            <w:hideMark/>
          </w:tcPr>
          <w:p w:rsidR="007F1447" w:rsidRPr="00541279"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 </w:t>
            </w:r>
          </w:p>
        </w:tc>
        <w:tc>
          <w:tcPr>
            <w:tcW w:w="1213" w:type="pct"/>
            <w:tcBorders>
              <w:top w:val="nil"/>
              <w:left w:val="single" w:sz="4" w:space="0" w:color="auto"/>
              <w:bottom w:val="single" w:sz="4" w:space="0" w:color="auto"/>
              <w:right w:val="single" w:sz="4" w:space="0" w:color="auto"/>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478" w:type="pct"/>
            <w:tcBorders>
              <w:top w:val="nil"/>
              <w:left w:val="nil"/>
              <w:bottom w:val="single" w:sz="4" w:space="0" w:color="auto"/>
              <w:right w:val="nil"/>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478" w:type="pct"/>
            <w:tcBorders>
              <w:top w:val="nil"/>
              <w:left w:val="nil"/>
              <w:bottom w:val="single" w:sz="4" w:space="0" w:color="auto"/>
              <w:right w:val="nil"/>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539" w:type="pct"/>
            <w:tcBorders>
              <w:top w:val="nil"/>
              <w:left w:val="nil"/>
              <w:bottom w:val="single" w:sz="4" w:space="0" w:color="auto"/>
              <w:right w:val="nil"/>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486" w:type="pct"/>
            <w:tcBorders>
              <w:top w:val="nil"/>
              <w:left w:val="nil"/>
              <w:bottom w:val="single" w:sz="4" w:space="0" w:color="auto"/>
              <w:right w:val="nil"/>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478" w:type="pct"/>
            <w:tcBorders>
              <w:top w:val="nil"/>
              <w:left w:val="nil"/>
              <w:bottom w:val="single" w:sz="4" w:space="0" w:color="auto"/>
              <w:right w:val="nil"/>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478" w:type="pct"/>
            <w:tcBorders>
              <w:top w:val="nil"/>
              <w:left w:val="nil"/>
              <w:bottom w:val="single" w:sz="4" w:space="0" w:color="auto"/>
              <w:right w:val="nil"/>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c>
          <w:tcPr>
            <w:tcW w:w="438" w:type="pct"/>
            <w:tcBorders>
              <w:top w:val="nil"/>
              <w:left w:val="single" w:sz="4" w:space="0" w:color="auto"/>
              <w:bottom w:val="single" w:sz="4" w:space="0" w:color="auto"/>
              <w:right w:val="single" w:sz="4" w:space="0" w:color="auto"/>
            </w:tcBorders>
            <w:shd w:val="clear" w:color="auto" w:fill="auto"/>
            <w:noWrap/>
            <w:hideMark/>
          </w:tcPr>
          <w:p w:rsidR="007F1447" w:rsidRPr="00541279" w:rsidRDefault="007F1447" w:rsidP="008817BA">
            <w:pPr>
              <w:tabs>
                <w:tab w:val="clear" w:pos="284"/>
              </w:tabs>
              <w:rPr>
                <w:rFonts w:ascii="Arial Narrow" w:hAnsi="Arial Narrow" w:cs="Arial"/>
                <w:color w:val="000000"/>
                <w:sz w:val="20"/>
              </w:rPr>
            </w:pPr>
            <w:r>
              <w:rPr>
                <w:rFonts w:ascii="Arial Narrow" w:hAnsi="Arial Narrow" w:cs="Arial"/>
                <w:color w:val="000000"/>
                <w:sz w:val="20"/>
              </w:rPr>
              <w:t> </w:t>
            </w:r>
          </w:p>
        </w:tc>
      </w:tr>
    </w:tbl>
    <w:p w:rsidR="007F1447" w:rsidRPr="00490CE0" w:rsidRDefault="007F1447" w:rsidP="007F1447">
      <w:pPr>
        <w:tabs>
          <w:tab w:val="clear" w:pos="284"/>
        </w:tabs>
        <w:rPr>
          <w:b/>
          <w:szCs w:val="24"/>
          <w:lang w:val="kl-GL"/>
        </w:rPr>
      </w:pPr>
    </w:p>
    <w:p w:rsidR="007F1447" w:rsidRPr="00490CE0" w:rsidRDefault="007F1447" w:rsidP="007F1447">
      <w:pPr>
        <w:tabs>
          <w:tab w:val="clear" w:pos="284"/>
        </w:tabs>
        <w:rPr>
          <w:szCs w:val="24"/>
          <w:lang w:val="kl-GL"/>
        </w:rPr>
      </w:pPr>
      <w:r>
        <w:t>Skolevæsenet: konto 51 Skolevæsenets forbrug ligger på 67,9 %.</w:t>
      </w:r>
    </w:p>
    <w:p w:rsidR="007F1447" w:rsidRPr="00490CE0" w:rsidRDefault="007F1447" w:rsidP="007F1447">
      <w:pPr>
        <w:tabs>
          <w:tab w:val="clear" w:pos="284"/>
        </w:tabs>
        <w:rPr>
          <w:szCs w:val="24"/>
          <w:lang w:val="kl-GL"/>
        </w:rPr>
      </w:pPr>
    </w:p>
    <w:p w:rsidR="007F1447" w:rsidRPr="00A84D0F" w:rsidRDefault="007F1447" w:rsidP="007F1447">
      <w:pPr>
        <w:tabs>
          <w:tab w:val="clear" w:pos="284"/>
        </w:tabs>
        <w:rPr>
          <w:b/>
          <w:szCs w:val="24"/>
          <w:lang w:val="kl-GL"/>
        </w:rPr>
      </w:pPr>
      <w:proofErr w:type="spellStart"/>
      <w:r w:rsidRPr="00A84D0F">
        <w:rPr>
          <w:b/>
          <w:szCs w:val="24"/>
        </w:rPr>
        <w:t>Atuarfik</w:t>
      </w:r>
      <w:proofErr w:type="spellEnd"/>
      <w:r w:rsidRPr="00A84D0F">
        <w:rPr>
          <w:b/>
          <w:szCs w:val="24"/>
        </w:rPr>
        <w:t xml:space="preserve"> </w:t>
      </w:r>
      <w:proofErr w:type="spellStart"/>
      <w:r w:rsidRPr="00A84D0F">
        <w:rPr>
          <w:b/>
          <w:szCs w:val="24"/>
        </w:rPr>
        <w:t>Kilaaseeraq</w:t>
      </w:r>
      <w:proofErr w:type="spellEnd"/>
      <w:r w:rsidRPr="00A84D0F">
        <w:rPr>
          <w:b/>
          <w:szCs w:val="24"/>
        </w:rPr>
        <w:t xml:space="preserve"> har en forbrug på 63,9 %.</w:t>
      </w:r>
    </w:p>
    <w:p w:rsidR="007F1447" w:rsidRPr="001C097D" w:rsidRDefault="007F1447" w:rsidP="007F1447">
      <w:pPr>
        <w:rPr>
          <w:lang w:val="kl-GL"/>
        </w:rPr>
      </w:pPr>
      <w:r>
        <w:t xml:space="preserve">51-01-21 Det fleste </w:t>
      </w:r>
      <w:proofErr w:type="spellStart"/>
      <w:r>
        <w:t>kontier</w:t>
      </w:r>
      <w:proofErr w:type="spellEnd"/>
      <w:r>
        <w:t xml:space="preserve"> pågår normalt.</w:t>
      </w:r>
    </w:p>
    <w:p w:rsidR="007F1447" w:rsidRPr="001C097D" w:rsidRDefault="007F1447" w:rsidP="007F1447">
      <w:pPr>
        <w:rPr>
          <w:lang w:val="kl-GL"/>
        </w:rPr>
      </w:pPr>
      <w:r>
        <w:t>Konto 51-01-21-01-09 ligger kun på 33 %. Denne konto har ikke så meget forbrug på grund af lærermangel.</w:t>
      </w:r>
    </w:p>
    <w:p w:rsidR="007F1447" w:rsidRPr="001C097D" w:rsidRDefault="007F1447" w:rsidP="007F1447">
      <w:pPr>
        <w:rPr>
          <w:lang w:val="kl-GL"/>
        </w:rPr>
      </w:pPr>
      <w:r>
        <w:t>Forudlønnede er tjenestemænd, og disse er blevet færre, derfor er der stor overskud.  Dog er bevillingen uændret på grund af normeringen.</w:t>
      </w:r>
    </w:p>
    <w:p w:rsidR="007F1447" w:rsidRPr="001C097D" w:rsidRDefault="007F1447" w:rsidP="007F1447">
      <w:pPr>
        <w:rPr>
          <w:lang w:val="kl-GL"/>
        </w:rPr>
      </w:pPr>
      <w:r>
        <w:lastRenderedPageBreak/>
        <w:t xml:space="preserve">Konto: 51-01-21-05-03 &amp; -05-05 personaleudskiftning har merforbrug, dette skyldes, at der benyttes udgifter til </w:t>
      </w:r>
      <w:proofErr w:type="spellStart"/>
      <w:r>
        <w:t>hhl</w:t>
      </w:r>
      <w:proofErr w:type="spellEnd"/>
      <w:r>
        <w:t xml:space="preserve"> for nye medarbejdere, da vakantforholdene i Maniitsoq er dårlige.</w:t>
      </w:r>
    </w:p>
    <w:p w:rsidR="007F1447" w:rsidRPr="001C097D" w:rsidRDefault="007F1447" w:rsidP="007F1447">
      <w:pPr>
        <w:rPr>
          <w:lang w:val="kl-GL"/>
        </w:rPr>
      </w:pPr>
      <w:r>
        <w:t>Drift konto 51-01-21-21-20 ligger på 25 %.</w:t>
      </w:r>
    </w:p>
    <w:p w:rsidR="007F1447" w:rsidRPr="001C097D" w:rsidRDefault="007F1447" w:rsidP="007F1447">
      <w:pPr>
        <w:rPr>
          <w:lang w:val="kl-GL"/>
        </w:rPr>
      </w:pPr>
      <w:r>
        <w:t>Der vil nu være overskud under solcellerne på grund af nedsat elpris.</w:t>
      </w:r>
    </w:p>
    <w:p w:rsidR="007F1447" w:rsidRPr="00490CE0" w:rsidRDefault="007F1447" w:rsidP="007F1447">
      <w:pPr>
        <w:tabs>
          <w:tab w:val="clear" w:pos="284"/>
        </w:tabs>
        <w:rPr>
          <w:szCs w:val="24"/>
          <w:lang w:val="kl-GL"/>
        </w:rPr>
      </w:pPr>
    </w:p>
    <w:p w:rsidR="007F1447" w:rsidRPr="00D47A81" w:rsidRDefault="007F1447" w:rsidP="007F1447">
      <w:pPr>
        <w:tabs>
          <w:tab w:val="clear" w:pos="284"/>
        </w:tabs>
        <w:rPr>
          <w:b/>
          <w:szCs w:val="24"/>
          <w:lang w:val="kl-GL"/>
        </w:rPr>
      </w:pPr>
      <w:r>
        <w:rPr>
          <w:b/>
          <w:szCs w:val="24"/>
        </w:rPr>
        <w:t>Status for bygdeskolernes forbrug:</w:t>
      </w:r>
    </w:p>
    <w:p w:rsidR="007F1447" w:rsidRPr="007E21AD" w:rsidRDefault="007F1447" w:rsidP="007F1447">
      <w:pPr>
        <w:rPr>
          <w:b/>
          <w:szCs w:val="24"/>
          <w:lang w:val="kl-GL"/>
        </w:rPr>
      </w:pPr>
      <w:r>
        <w:rPr>
          <w:b/>
          <w:szCs w:val="24"/>
        </w:rPr>
        <w:t xml:space="preserve">Forbruget i </w:t>
      </w:r>
      <w:proofErr w:type="spellStart"/>
      <w:r>
        <w:rPr>
          <w:b/>
          <w:szCs w:val="24"/>
        </w:rPr>
        <w:t>Kangaamiut</w:t>
      </w:r>
      <w:proofErr w:type="spellEnd"/>
      <w:r>
        <w:rPr>
          <w:b/>
          <w:szCs w:val="24"/>
        </w:rPr>
        <w:t xml:space="preserve"> ligger på 68,4 %</w:t>
      </w:r>
    </w:p>
    <w:p w:rsidR="007F1447" w:rsidRPr="00490CE0" w:rsidRDefault="007F1447" w:rsidP="007F1447">
      <w:pPr>
        <w:rPr>
          <w:lang w:val="kl-GL"/>
        </w:rPr>
      </w:pPr>
      <w:r>
        <w:t>5101600113 øvrige personale (Kontor, Pedel og Skolepasning) ligger på 97,9%, grunden til forbruget er at omklædningsrum og gangen i Minehallen blev malet med hjælp fra Pedel, er nu færdig og vil blive bragt i orden.</w:t>
      </w:r>
    </w:p>
    <w:p w:rsidR="007F1447" w:rsidRDefault="007F1447" w:rsidP="007F1447">
      <w:pPr>
        <w:rPr>
          <w:lang w:val="kl-GL"/>
        </w:rPr>
      </w:pPr>
      <w:r>
        <w:t>5101600500 Personaleudgifter, merforbruget skyldes, at der har været to kurser i hhv. Sisimiut og Maniitsoq.</w:t>
      </w:r>
    </w:p>
    <w:p w:rsidR="007F1447" w:rsidRDefault="007F1447" w:rsidP="007F1447">
      <w:pPr>
        <w:rPr>
          <w:lang w:val="kl-GL"/>
        </w:rPr>
      </w:pPr>
      <w:r>
        <w:t>5101600501 Boligtilskud til lærerne i bygderne. Der er forventet merforbrug under kontoen på grund af, at der er flere uddannede lærere.</w:t>
      </w:r>
    </w:p>
    <w:p w:rsidR="007F1447" w:rsidRPr="00490CE0" w:rsidRDefault="007F1447" w:rsidP="007F1447">
      <w:pPr>
        <w:rPr>
          <w:lang w:val="kl-GL"/>
        </w:rPr>
      </w:pPr>
      <w:r>
        <w:t>5101602200 Reparation og vedligeholdelse. Ligger på 752,1% på grund af nødvendige reparationer, der er stadigvæk områder, som har behov for reparationer. På baggrund af en brand i Minihallens fyrrum og på grund af at skolen er af ældre årgang.</w:t>
      </w:r>
    </w:p>
    <w:p w:rsidR="007F1447" w:rsidRPr="00490CE0" w:rsidRDefault="007F1447" w:rsidP="007F1447">
      <w:pPr>
        <w:rPr>
          <w:lang w:val="kl-GL"/>
        </w:rPr>
      </w:pPr>
    </w:p>
    <w:p w:rsidR="007F1447" w:rsidRPr="007E21AD" w:rsidRDefault="007F1447" w:rsidP="007F1447">
      <w:pPr>
        <w:tabs>
          <w:tab w:val="clear" w:pos="284"/>
        </w:tabs>
        <w:rPr>
          <w:b/>
          <w:lang w:val="kl-GL"/>
        </w:rPr>
      </w:pPr>
      <w:r>
        <w:rPr>
          <w:b/>
          <w:szCs w:val="24"/>
        </w:rPr>
        <w:t xml:space="preserve">Forbruget i </w:t>
      </w:r>
      <w:proofErr w:type="spellStart"/>
      <w:r>
        <w:rPr>
          <w:b/>
          <w:szCs w:val="24"/>
        </w:rPr>
        <w:t>Napasoq</w:t>
      </w:r>
      <w:proofErr w:type="spellEnd"/>
      <w:r>
        <w:rPr>
          <w:b/>
          <w:szCs w:val="24"/>
        </w:rPr>
        <w:t xml:space="preserve"> ligger på 109,6 %. </w:t>
      </w:r>
    </w:p>
    <w:p w:rsidR="007F1447" w:rsidRPr="00490CE0" w:rsidRDefault="007F1447" w:rsidP="007F1447">
      <w:pPr>
        <w:tabs>
          <w:tab w:val="clear" w:pos="284"/>
        </w:tabs>
        <w:rPr>
          <w:szCs w:val="24"/>
          <w:lang w:val="kl-GL"/>
        </w:rPr>
      </w:pPr>
      <w:r>
        <w:rPr>
          <w:szCs w:val="24"/>
        </w:rPr>
        <w:t>51-01-70-01-14 har en forbrug på 2.611,7 %.</w:t>
      </w:r>
    </w:p>
    <w:p w:rsidR="007F1447" w:rsidRPr="00490CE0" w:rsidRDefault="007F1447" w:rsidP="007F1447">
      <w:pPr>
        <w:tabs>
          <w:tab w:val="clear" w:pos="284"/>
        </w:tabs>
        <w:rPr>
          <w:szCs w:val="24"/>
          <w:lang w:val="kl-GL"/>
        </w:rPr>
      </w:pPr>
      <w:r>
        <w:rPr>
          <w:szCs w:val="24"/>
        </w:rPr>
        <w:t>Lærervikarer: På baggrund af en langtidssygemelding af 1 ansat og 1 elev på specialklasse blev tilknyttet støtteperson i foråret.</w:t>
      </w:r>
    </w:p>
    <w:p w:rsidR="007F1447" w:rsidRPr="00490CE0" w:rsidRDefault="007F1447" w:rsidP="007F1447">
      <w:pPr>
        <w:tabs>
          <w:tab w:val="clear" w:pos="284"/>
        </w:tabs>
        <w:rPr>
          <w:szCs w:val="24"/>
          <w:lang w:val="kl-GL"/>
        </w:rPr>
      </w:pPr>
      <w:r>
        <w:rPr>
          <w:szCs w:val="24"/>
        </w:rPr>
        <w:t>51-01-70-15-01 har en forbrug på 211,9 %.</w:t>
      </w:r>
    </w:p>
    <w:p w:rsidR="007F1447" w:rsidRPr="00490CE0" w:rsidRDefault="007F1447" w:rsidP="007F1447">
      <w:pPr>
        <w:tabs>
          <w:tab w:val="clear" w:pos="284"/>
        </w:tabs>
        <w:rPr>
          <w:szCs w:val="24"/>
          <w:lang w:val="kl-GL"/>
        </w:rPr>
      </w:pPr>
      <w:r>
        <w:rPr>
          <w:szCs w:val="24"/>
        </w:rPr>
        <w:t>Indkøb af undervisningsmaterialer: Man havde overset en regning fra forrige år, som først blev betalt i år.</w:t>
      </w:r>
    </w:p>
    <w:p w:rsidR="007F1447" w:rsidRPr="00490CE0" w:rsidRDefault="007F1447" w:rsidP="007F1447">
      <w:pPr>
        <w:tabs>
          <w:tab w:val="clear" w:pos="284"/>
        </w:tabs>
        <w:rPr>
          <w:szCs w:val="24"/>
          <w:lang w:val="kl-GL"/>
        </w:rPr>
      </w:pPr>
      <w:r>
        <w:rPr>
          <w:szCs w:val="24"/>
        </w:rPr>
        <w:t>51-01-70-22-00 har en forbrug på 410,6 %.</w:t>
      </w:r>
    </w:p>
    <w:p w:rsidR="007F1447" w:rsidRPr="00490CE0" w:rsidRDefault="007F1447" w:rsidP="007F1447">
      <w:pPr>
        <w:tabs>
          <w:tab w:val="clear" w:pos="284"/>
        </w:tabs>
        <w:rPr>
          <w:szCs w:val="24"/>
          <w:lang w:val="kl-GL"/>
        </w:rPr>
      </w:pPr>
      <w:r>
        <w:rPr>
          <w:szCs w:val="24"/>
        </w:rPr>
        <w:t>Reparationer og vedligeholdelse: Radiatoren gik i stykker i vinters.</w:t>
      </w:r>
    </w:p>
    <w:p w:rsidR="007F1447" w:rsidRPr="00490CE0" w:rsidRDefault="007F1447" w:rsidP="007F1447">
      <w:pPr>
        <w:tabs>
          <w:tab w:val="clear" w:pos="284"/>
        </w:tabs>
        <w:rPr>
          <w:szCs w:val="24"/>
          <w:lang w:val="kl-GL"/>
        </w:rPr>
      </w:pPr>
    </w:p>
    <w:p w:rsidR="007F1447" w:rsidRPr="007E21AD" w:rsidRDefault="007F1447" w:rsidP="007F1447">
      <w:pPr>
        <w:rPr>
          <w:b/>
          <w:szCs w:val="24"/>
          <w:lang w:val="kl-GL"/>
        </w:rPr>
      </w:pPr>
      <w:proofErr w:type="spellStart"/>
      <w:r>
        <w:rPr>
          <w:b/>
          <w:szCs w:val="24"/>
        </w:rPr>
        <w:t>Atammik</w:t>
      </w:r>
      <w:proofErr w:type="spellEnd"/>
      <w:r>
        <w:rPr>
          <w:b/>
          <w:szCs w:val="24"/>
        </w:rPr>
        <w:t xml:space="preserve"> 101,4 %</w:t>
      </w:r>
    </w:p>
    <w:p w:rsidR="007F1447" w:rsidRPr="00490CE0" w:rsidRDefault="007F1447" w:rsidP="007F1447">
      <w:pPr>
        <w:rPr>
          <w:lang w:val="kl-GL"/>
        </w:rPr>
      </w:pPr>
      <w:r>
        <w:t xml:space="preserve">51-01-80-01-14 har en forbrug på 1.400,9 %. </w:t>
      </w:r>
    </w:p>
    <w:p w:rsidR="007F1447" w:rsidRPr="00490CE0" w:rsidRDefault="007F1447" w:rsidP="007F1447">
      <w:pPr>
        <w:rPr>
          <w:lang w:val="kl-GL"/>
        </w:rPr>
      </w:pPr>
      <w:r>
        <w:t>Lærervikarer: Der er forbrug af vikar under en lærers langtidssygemelding.</w:t>
      </w:r>
    </w:p>
    <w:p w:rsidR="007F1447" w:rsidRPr="00490CE0" w:rsidRDefault="007F1447" w:rsidP="007F1447">
      <w:pPr>
        <w:rPr>
          <w:lang w:val="kl-GL"/>
        </w:rPr>
      </w:pPr>
      <w:r>
        <w:t>51-01-80-05-01 har en forbrug på 201,3 %.</w:t>
      </w:r>
    </w:p>
    <w:p w:rsidR="007F1447" w:rsidRPr="00490CE0" w:rsidRDefault="007F1447" w:rsidP="007F1447">
      <w:pPr>
        <w:rPr>
          <w:lang w:val="kl-GL"/>
        </w:rPr>
      </w:pPr>
      <w:r>
        <w:t xml:space="preserve">På grund af, at der gives tilskud til 3 lærere, er der merforbrug under boligtilskud i bygderne. </w:t>
      </w:r>
    </w:p>
    <w:p w:rsidR="007F1447" w:rsidRPr="00490CE0" w:rsidRDefault="007F1447" w:rsidP="007F1447">
      <w:pPr>
        <w:rPr>
          <w:lang w:val="kl-GL"/>
        </w:rPr>
      </w:pPr>
      <w:r>
        <w:t>51-01-80-12-00 har en forbrug på 190,7 %.</w:t>
      </w:r>
    </w:p>
    <w:p w:rsidR="007F1447" w:rsidRPr="00490CE0" w:rsidRDefault="007F1447" w:rsidP="007F1447">
      <w:pPr>
        <w:rPr>
          <w:lang w:val="kl-GL"/>
        </w:rPr>
      </w:pPr>
      <w:r>
        <w:t xml:space="preserve">Fremmed tjenesteydelse: Dag- og </w:t>
      </w:r>
      <w:proofErr w:type="spellStart"/>
      <w:r>
        <w:t>natreno</w:t>
      </w:r>
      <w:proofErr w:type="spellEnd"/>
      <w:r>
        <w:t>.</w:t>
      </w:r>
    </w:p>
    <w:p w:rsidR="007F1447" w:rsidRPr="00490CE0" w:rsidRDefault="007F1447" w:rsidP="007F1447">
      <w:pPr>
        <w:rPr>
          <w:lang w:val="kl-GL"/>
        </w:rPr>
      </w:pPr>
      <w:r>
        <w:t xml:space="preserve">51-01-80-15-01 har en forbrug på 109,2 %. </w:t>
      </w:r>
    </w:p>
    <w:p w:rsidR="007F1447" w:rsidRPr="00490CE0" w:rsidRDefault="007F1447" w:rsidP="007F1447">
      <w:pPr>
        <w:rPr>
          <w:lang w:val="kl-GL"/>
        </w:rPr>
      </w:pPr>
      <w:r>
        <w:t>Indkøb af undervisningsmaterialer: Årsagen hertil er indkøb af undervisningsmaterialer for den halve år af skoleåret 2018/19 og skoleåret 2019/20.</w:t>
      </w:r>
    </w:p>
    <w:p w:rsidR="007F1447" w:rsidRPr="00490CE0" w:rsidRDefault="007F1447" w:rsidP="007F1447">
      <w:pPr>
        <w:rPr>
          <w:lang w:val="kl-GL"/>
        </w:rPr>
      </w:pPr>
      <w:r>
        <w:t xml:space="preserve">51-01-80-15-02 </w:t>
      </w:r>
      <w:r>
        <w:rPr>
          <w:szCs w:val="24"/>
        </w:rPr>
        <w:t xml:space="preserve">har en forbrug på </w:t>
      </w:r>
      <w:r>
        <w:t>1.255,7 %.</w:t>
      </w:r>
    </w:p>
    <w:p w:rsidR="007F1447" w:rsidRPr="00490CE0" w:rsidRDefault="007F1447" w:rsidP="007F1447">
      <w:pPr>
        <w:rPr>
          <w:lang w:val="kl-GL"/>
        </w:rPr>
      </w:pPr>
      <w:r>
        <w:t>Varekøb i øvrigt: Blev brugt mest til bøger, og til materialer; såsom rengøringsartikler.</w:t>
      </w:r>
    </w:p>
    <w:p w:rsidR="007F1447" w:rsidRPr="00490CE0" w:rsidRDefault="007F1447" w:rsidP="007F1447">
      <w:pPr>
        <w:tabs>
          <w:tab w:val="clear" w:pos="284"/>
        </w:tabs>
        <w:rPr>
          <w:szCs w:val="24"/>
          <w:lang w:val="kl-GL"/>
        </w:rPr>
      </w:pPr>
    </w:p>
    <w:p w:rsidR="007F1447" w:rsidRPr="00081476" w:rsidRDefault="007F1447" w:rsidP="007F1447">
      <w:pPr>
        <w:rPr>
          <w:b/>
          <w:szCs w:val="24"/>
          <w:lang w:val="kl-GL"/>
        </w:rPr>
      </w:pPr>
      <w:r>
        <w:rPr>
          <w:b/>
          <w:szCs w:val="24"/>
        </w:rPr>
        <w:t>Forbruget på konto 51-11-20 Kollegier og skolehjem ligger på 77,1 %.</w:t>
      </w:r>
    </w:p>
    <w:p w:rsidR="007F1447" w:rsidRPr="00490CE0" w:rsidRDefault="007F1447" w:rsidP="007F1447">
      <w:pPr>
        <w:rPr>
          <w:lang w:val="kl-GL"/>
        </w:rPr>
      </w:pPr>
      <w:r>
        <w:t>51-11-20-22-00: 479,45 %. Under vedligeholdelsesarbejdet er der rør, som ikke var blevet udskiftet ved afmontering af oliefyret, hvorved de gamle rør er blevet utætte og medførte reparationer.</w:t>
      </w:r>
    </w:p>
    <w:p w:rsidR="007F1447" w:rsidRPr="00490CE0" w:rsidRDefault="007F1447" w:rsidP="007F1447">
      <w:pPr>
        <w:tabs>
          <w:tab w:val="clear" w:pos="284"/>
        </w:tabs>
        <w:rPr>
          <w:szCs w:val="24"/>
          <w:lang w:val="kl-GL"/>
        </w:rPr>
      </w:pPr>
    </w:p>
    <w:p w:rsidR="007F1447" w:rsidRDefault="007F1447">
      <w:pPr>
        <w:tabs>
          <w:tab w:val="clear" w:pos="284"/>
        </w:tabs>
        <w:spacing w:after="160" w:line="259" w:lineRule="auto"/>
      </w:pPr>
      <w:r>
        <w:br w:type="page"/>
      </w:r>
    </w:p>
    <w:p w:rsidR="007F1447" w:rsidRPr="00490CE0" w:rsidRDefault="007F1447" w:rsidP="007F1447">
      <w:pPr>
        <w:tabs>
          <w:tab w:val="clear" w:pos="284"/>
        </w:tabs>
        <w:rPr>
          <w:b/>
          <w:szCs w:val="24"/>
          <w:lang w:val="kl-GL"/>
        </w:rPr>
      </w:pPr>
      <w:r>
        <w:lastRenderedPageBreak/>
        <w:t>Konto 53 Fritidsvirksomhed Maniitsoq + bygder.</w:t>
      </w:r>
      <w:r>
        <w:rPr>
          <w:szCs w:val="24"/>
        </w:rPr>
        <w:t xml:space="preserve"> </w:t>
      </w:r>
    </w:p>
    <w:tbl>
      <w:tblPr>
        <w:tblW w:w="5000" w:type="pct"/>
        <w:tblCellMar>
          <w:left w:w="70" w:type="dxa"/>
          <w:right w:w="70" w:type="dxa"/>
        </w:tblCellMar>
        <w:tblLook w:val="04A0" w:firstRow="1" w:lastRow="0" w:firstColumn="1" w:lastColumn="0" w:noHBand="0" w:noVBand="1"/>
      </w:tblPr>
      <w:tblGrid>
        <w:gridCol w:w="822"/>
        <w:gridCol w:w="3327"/>
        <w:gridCol w:w="743"/>
        <w:gridCol w:w="743"/>
        <w:gridCol w:w="916"/>
        <w:gridCol w:w="826"/>
        <w:gridCol w:w="769"/>
        <w:gridCol w:w="713"/>
        <w:gridCol w:w="769"/>
      </w:tblGrid>
      <w:tr w:rsidR="007F1447" w:rsidRPr="006E25C6" w:rsidTr="008817BA">
        <w:trPr>
          <w:trHeight w:val="255"/>
        </w:trPr>
        <w:tc>
          <w:tcPr>
            <w:tcW w:w="430" w:type="pct"/>
            <w:tcBorders>
              <w:top w:val="single" w:sz="4" w:space="0" w:color="auto"/>
              <w:left w:val="single" w:sz="4" w:space="0" w:color="auto"/>
              <w:bottom w:val="nil"/>
              <w:right w:val="nil"/>
            </w:tcBorders>
            <w:shd w:val="clear" w:color="000000" w:fill="D9D9D9"/>
            <w:noWrap/>
            <w:hideMark/>
          </w:tcPr>
          <w:p w:rsidR="007F1447" w:rsidRPr="00B330A9" w:rsidRDefault="007F1447" w:rsidP="008817BA">
            <w:pPr>
              <w:tabs>
                <w:tab w:val="clear" w:pos="284"/>
              </w:tabs>
              <w:rPr>
                <w:rFonts w:ascii="Arial" w:hAnsi="Arial" w:cs="Arial"/>
                <w:color w:val="000000"/>
                <w:sz w:val="20"/>
                <w:lang w:val="kl-GL"/>
              </w:rPr>
            </w:pPr>
            <w:r>
              <w:rPr>
                <w:rFonts w:ascii="Arial" w:hAnsi="Arial" w:cs="Arial"/>
                <w:color w:val="000000"/>
                <w:sz w:val="20"/>
              </w:rPr>
              <w:t> </w:t>
            </w:r>
          </w:p>
        </w:tc>
        <w:tc>
          <w:tcPr>
            <w:tcW w:w="1731" w:type="pct"/>
            <w:tcBorders>
              <w:top w:val="single" w:sz="4" w:space="0" w:color="auto"/>
              <w:left w:val="single" w:sz="4" w:space="0" w:color="auto"/>
              <w:bottom w:val="nil"/>
              <w:right w:val="single" w:sz="4" w:space="0" w:color="auto"/>
            </w:tcBorders>
            <w:shd w:val="clear" w:color="000000" w:fill="D9D9D9"/>
            <w:noWrap/>
            <w:hideMark/>
          </w:tcPr>
          <w:p w:rsidR="007F1447" w:rsidRPr="00B330A9" w:rsidRDefault="007F1447" w:rsidP="008817BA">
            <w:pPr>
              <w:tabs>
                <w:tab w:val="clear" w:pos="284"/>
              </w:tabs>
              <w:rPr>
                <w:rFonts w:ascii="Arial" w:hAnsi="Arial" w:cs="Arial"/>
                <w:color w:val="000000"/>
                <w:sz w:val="20"/>
                <w:lang w:val="kl-GL"/>
              </w:rPr>
            </w:pPr>
            <w:r>
              <w:rPr>
                <w:rFonts w:ascii="Arial" w:hAnsi="Arial" w:cs="Arial"/>
                <w:color w:val="000000"/>
                <w:sz w:val="20"/>
              </w:rPr>
              <w:t> </w:t>
            </w:r>
          </w:p>
        </w:tc>
        <w:tc>
          <w:tcPr>
            <w:tcW w:w="389" w:type="pct"/>
            <w:tcBorders>
              <w:top w:val="single" w:sz="4" w:space="0" w:color="auto"/>
              <w:left w:val="nil"/>
              <w:bottom w:val="nil"/>
              <w:right w:val="nil"/>
            </w:tcBorders>
            <w:shd w:val="clear" w:color="000000" w:fill="D9D9D9"/>
            <w:noWrap/>
            <w:hideMark/>
          </w:tcPr>
          <w:p w:rsidR="007F1447" w:rsidRPr="006E25C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Budget</w:t>
            </w:r>
          </w:p>
        </w:tc>
        <w:tc>
          <w:tcPr>
            <w:tcW w:w="389" w:type="pct"/>
            <w:tcBorders>
              <w:top w:val="single" w:sz="4" w:space="0" w:color="auto"/>
              <w:left w:val="nil"/>
              <w:bottom w:val="nil"/>
              <w:right w:val="nil"/>
            </w:tcBorders>
            <w:shd w:val="clear" w:color="000000" w:fill="D9D9D9"/>
            <w:noWrap/>
            <w:hideMark/>
          </w:tcPr>
          <w:p w:rsidR="007F1447" w:rsidRPr="006E25C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Tillæg</w:t>
            </w:r>
          </w:p>
        </w:tc>
        <w:tc>
          <w:tcPr>
            <w:tcW w:w="479" w:type="pct"/>
            <w:tcBorders>
              <w:top w:val="single" w:sz="4" w:space="0" w:color="auto"/>
              <w:left w:val="nil"/>
              <w:bottom w:val="nil"/>
              <w:right w:val="nil"/>
            </w:tcBorders>
            <w:shd w:val="clear" w:color="000000" w:fill="D9D9D9"/>
            <w:noWrap/>
            <w:hideMark/>
          </w:tcPr>
          <w:p w:rsidR="007F1447" w:rsidRPr="006E25C6" w:rsidRDefault="007F1447" w:rsidP="008817BA">
            <w:pPr>
              <w:tabs>
                <w:tab w:val="clear" w:pos="284"/>
              </w:tabs>
              <w:jc w:val="center"/>
              <w:rPr>
                <w:rFonts w:ascii="Arial Narrow" w:hAnsi="Arial Narrow" w:cs="Arial"/>
                <w:b/>
                <w:bCs/>
                <w:color w:val="000000"/>
                <w:sz w:val="20"/>
              </w:rPr>
            </w:pPr>
            <w:proofErr w:type="spellStart"/>
            <w:r>
              <w:rPr>
                <w:rFonts w:ascii="Arial Narrow" w:hAnsi="Arial Narrow" w:cs="Arial"/>
                <w:b/>
                <w:bCs/>
                <w:color w:val="000000"/>
                <w:sz w:val="20"/>
              </w:rPr>
              <w:t>Omplac</w:t>
            </w:r>
            <w:proofErr w:type="spellEnd"/>
            <w:r>
              <w:rPr>
                <w:rFonts w:ascii="Arial Narrow" w:hAnsi="Arial Narrow" w:cs="Arial"/>
                <w:b/>
                <w:bCs/>
                <w:color w:val="000000"/>
                <w:sz w:val="20"/>
              </w:rPr>
              <w:t>.</w:t>
            </w:r>
          </w:p>
        </w:tc>
        <w:tc>
          <w:tcPr>
            <w:tcW w:w="432" w:type="pct"/>
            <w:tcBorders>
              <w:top w:val="single" w:sz="4" w:space="0" w:color="auto"/>
              <w:left w:val="nil"/>
              <w:bottom w:val="nil"/>
              <w:right w:val="nil"/>
            </w:tcBorders>
            <w:shd w:val="clear" w:color="000000" w:fill="D9D9D9"/>
            <w:noWrap/>
            <w:hideMark/>
          </w:tcPr>
          <w:p w:rsidR="007F1447" w:rsidRPr="006E25C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Bevilling</w:t>
            </w:r>
          </w:p>
        </w:tc>
        <w:tc>
          <w:tcPr>
            <w:tcW w:w="389" w:type="pct"/>
            <w:tcBorders>
              <w:top w:val="single" w:sz="4" w:space="0" w:color="auto"/>
              <w:left w:val="nil"/>
              <w:bottom w:val="nil"/>
              <w:right w:val="nil"/>
            </w:tcBorders>
            <w:shd w:val="clear" w:color="000000" w:fill="D9D9D9"/>
            <w:noWrap/>
            <w:hideMark/>
          </w:tcPr>
          <w:p w:rsidR="007F1447" w:rsidRPr="006E25C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Forbrug</w:t>
            </w:r>
          </w:p>
        </w:tc>
        <w:tc>
          <w:tcPr>
            <w:tcW w:w="373" w:type="pct"/>
            <w:tcBorders>
              <w:top w:val="single" w:sz="4" w:space="0" w:color="auto"/>
              <w:left w:val="nil"/>
              <w:bottom w:val="nil"/>
              <w:right w:val="nil"/>
            </w:tcBorders>
            <w:shd w:val="clear" w:color="000000" w:fill="D9D9D9"/>
            <w:noWrap/>
            <w:hideMark/>
          </w:tcPr>
          <w:p w:rsidR="007F1447" w:rsidRPr="006E25C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Rest</w:t>
            </w:r>
          </w:p>
        </w:tc>
        <w:tc>
          <w:tcPr>
            <w:tcW w:w="389" w:type="pct"/>
            <w:tcBorders>
              <w:top w:val="single" w:sz="4" w:space="0" w:color="auto"/>
              <w:left w:val="single" w:sz="4" w:space="0" w:color="auto"/>
              <w:bottom w:val="nil"/>
              <w:right w:val="single" w:sz="4" w:space="0" w:color="auto"/>
            </w:tcBorders>
            <w:shd w:val="clear" w:color="000000" w:fill="D9D9D9"/>
            <w:noWrap/>
            <w:hideMark/>
          </w:tcPr>
          <w:p w:rsidR="007F1447" w:rsidRPr="006E25C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Forbrug</w:t>
            </w:r>
          </w:p>
        </w:tc>
      </w:tr>
      <w:tr w:rsidR="007F1447" w:rsidRPr="006E25C6" w:rsidTr="008817BA">
        <w:trPr>
          <w:trHeight w:val="270"/>
        </w:trPr>
        <w:tc>
          <w:tcPr>
            <w:tcW w:w="430" w:type="pct"/>
            <w:tcBorders>
              <w:top w:val="nil"/>
              <w:left w:val="single" w:sz="4" w:space="0" w:color="auto"/>
              <w:bottom w:val="single" w:sz="4" w:space="0" w:color="auto"/>
              <w:right w:val="nil"/>
            </w:tcBorders>
            <w:shd w:val="clear" w:color="000000" w:fill="D9D9D9"/>
            <w:noWrap/>
            <w:hideMark/>
          </w:tcPr>
          <w:p w:rsidR="007F1447" w:rsidRPr="006E25C6" w:rsidRDefault="007F1447" w:rsidP="008817BA">
            <w:pPr>
              <w:tabs>
                <w:tab w:val="clear" w:pos="284"/>
              </w:tabs>
              <w:rPr>
                <w:rFonts w:ascii="Arial" w:hAnsi="Arial" w:cs="Arial"/>
                <w:b/>
                <w:bCs/>
                <w:color w:val="000000"/>
                <w:sz w:val="20"/>
              </w:rPr>
            </w:pPr>
            <w:r>
              <w:rPr>
                <w:rFonts w:ascii="Arial" w:hAnsi="Arial" w:cs="Arial"/>
                <w:b/>
                <w:bCs/>
                <w:color w:val="000000"/>
                <w:sz w:val="20"/>
              </w:rPr>
              <w:t>Konto</w:t>
            </w:r>
          </w:p>
        </w:tc>
        <w:tc>
          <w:tcPr>
            <w:tcW w:w="1731" w:type="pct"/>
            <w:tcBorders>
              <w:top w:val="nil"/>
              <w:left w:val="single" w:sz="4" w:space="0" w:color="auto"/>
              <w:bottom w:val="single" w:sz="4" w:space="0" w:color="auto"/>
              <w:right w:val="single" w:sz="4" w:space="0" w:color="auto"/>
            </w:tcBorders>
            <w:shd w:val="clear" w:color="000000" w:fill="D9D9D9"/>
            <w:noWrap/>
            <w:hideMark/>
          </w:tcPr>
          <w:p w:rsidR="007F1447" w:rsidRPr="006E25C6" w:rsidRDefault="007F1447" w:rsidP="008817BA">
            <w:pPr>
              <w:tabs>
                <w:tab w:val="clear" w:pos="284"/>
              </w:tabs>
              <w:rPr>
                <w:rFonts w:ascii="Arial" w:hAnsi="Arial" w:cs="Arial"/>
                <w:b/>
                <w:bCs/>
                <w:color w:val="000000"/>
                <w:sz w:val="20"/>
              </w:rPr>
            </w:pPr>
            <w:r>
              <w:rPr>
                <w:rFonts w:ascii="Arial" w:hAnsi="Arial" w:cs="Arial"/>
                <w:b/>
                <w:bCs/>
                <w:color w:val="000000"/>
                <w:sz w:val="20"/>
              </w:rPr>
              <w:t>Kontonavn</w:t>
            </w:r>
          </w:p>
        </w:tc>
        <w:tc>
          <w:tcPr>
            <w:tcW w:w="389" w:type="pct"/>
            <w:tcBorders>
              <w:top w:val="nil"/>
              <w:left w:val="nil"/>
              <w:bottom w:val="single" w:sz="4" w:space="0" w:color="auto"/>
              <w:right w:val="nil"/>
            </w:tcBorders>
            <w:shd w:val="clear" w:color="000000" w:fill="D9D9D9"/>
            <w:hideMark/>
          </w:tcPr>
          <w:p w:rsidR="007F1447" w:rsidRPr="006E25C6"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389" w:type="pct"/>
            <w:tcBorders>
              <w:top w:val="nil"/>
              <w:left w:val="nil"/>
              <w:bottom w:val="single" w:sz="4" w:space="0" w:color="auto"/>
              <w:right w:val="nil"/>
            </w:tcBorders>
            <w:shd w:val="clear" w:color="000000" w:fill="D9D9D9"/>
            <w:hideMark/>
          </w:tcPr>
          <w:p w:rsidR="007F1447" w:rsidRPr="006E25C6"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79" w:type="pct"/>
            <w:tcBorders>
              <w:top w:val="nil"/>
              <w:left w:val="nil"/>
              <w:bottom w:val="single" w:sz="4" w:space="0" w:color="auto"/>
              <w:right w:val="nil"/>
            </w:tcBorders>
            <w:shd w:val="clear" w:color="000000" w:fill="D9D9D9"/>
            <w:hideMark/>
          </w:tcPr>
          <w:p w:rsidR="007F1447" w:rsidRPr="006E25C6"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32" w:type="pct"/>
            <w:tcBorders>
              <w:top w:val="nil"/>
              <w:left w:val="nil"/>
              <w:bottom w:val="single" w:sz="4" w:space="0" w:color="auto"/>
              <w:right w:val="nil"/>
            </w:tcBorders>
            <w:shd w:val="clear" w:color="000000" w:fill="D9D9D9"/>
            <w:hideMark/>
          </w:tcPr>
          <w:p w:rsidR="007F1447" w:rsidRPr="006E25C6"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389" w:type="pct"/>
            <w:tcBorders>
              <w:top w:val="nil"/>
              <w:left w:val="nil"/>
              <w:bottom w:val="single" w:sz="4" w:space="0" w:color="auto"/>
              <w:right w:val="nil"/>
            </w:tcBorders>
            <w:shd w:val="clear" w:color="000000" w:fill="D9D9D9"/>
            <w:hideMark/>
          </w:tcPr>
          <w:p w:rsidR="007F1447" w:rsidRPr="006E25C6"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373" w:type="pct"/>
            <w:tcBorders>
              <w:top w:val="nil"/>
              <w:left w:val="nil"/>
              <w:bottom w:val="single" w:sz="4" w:space="0" w:color="auto"/>
              <w:right w:val="nil"/>
            </w:tcBorders>
            <w:shd w:val="clear" w:color="000000" w:fill="D9D9D9"/>
            <w:hideMark/>
          </w:tcPr>
          <w:p w:rsidR="007F1447" w:rsidRPr="006E25C6"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389" w:type="pct"/>
            <w:tcBorders>
              <w:top w:val="nil"/>
              <w:left w:val="single" w:sz="4" w:space="0" w:color="auto"/>
              <w:bottom w:val="single" w:sz="4" w:space="0" w:color="auto"/>
              <w:right w:val="single" w:sz="4" w:space="0" w:color="auto"/>
            </w:tcBorders>
            <w:shd w:val="clear" w:color="000000" w:fill="D9D9D9"/>
            <w:noWrap/>
            <w:hideMark/>
          </w:tcPr>
          <w:p w:rsidR="007F1447" w:rsidRPr="006E25C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i %</w:t>
            </w:r>
          </w:p>
        </w:tc>
      </w:tr>
      <w:tr w:rsidR="007F1447" w:rsidRPr="006E25C6" w:rsidTr="008817BA">
        <w:trPr>
          <w:trHeight w:val="255"/>
        </w:trPr>
        <w:tc>
          <w:tcPr>
            <w:tcW w:w="430" w:type="pct"/>
            <w:tcBorders>
              <w:top w:val="nil"/>
              <w:left w:val="single" w:sz="4" w:space="0" w:color="auto"/>
              <w:bottom w:val="nil"/>
              <w:right w:val="nil"/>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1731" w:type="pct"/>
            <w:tcBorders>
              <w:top w:val="nil"/>
              <w:left w:val="single" w:sz="4" w:space="0" w:color="auto"/>
              <w:bottom w:val="nil"/>
              <w:right w:val="single" w:sz="4" w:space="0" w:color="auto"/>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rPr>
                <w:rFonts w:ascii="Arial" w:hAnsi="Arial" w:cs="Arial"/>
                <w:color w:val="000000"/>
                <w:sz w:val="20"/>
              </w:rPr>
            </w:pP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rPr>
                <w:sz w:val="20"/>
              </w:rPr>
            </w:pPr>
          </w:p>
        </w:tc>
        <w:tc>
          <w:tcPr>
            <w:tcW w:w="479" w:type="pct"/>
            <w:tcBorders>
              <w:top w:val="nil"/>
              <w:left w:val="nil"/>
              <w:bottom w:val="nil"/>
              <w:right w:val="nil"/>
            </w:tcBorders>
            <w:shd w:val="clear" w:color="auto" w:fill="auto"/>
            <w:noWrap/>
            <w:hideMark/>
          </w:tcPr>
          <w:p w:rsidR="007F1447" w:rsidRPr="006E25C6" w:rsidRDefault="007F1447" w:rsidP="008817BA">
            <w:pPr>
              <w:tabs>
                <w:tab w:val="clear" w:pos="284"/>
              </w:tabs>
              <w:rPr>
                <w:sz w:val="20"/>
              </w:rPr>
            </w:pPr>
          </w:p>
        </w:tc>
        <w:tc>
          <w:tcPr>
            <w:tcW w:w="432" w:type="pct"/>
            <w:tcBorders>
              <w:top w:val="nil"/>
              <w:left w:val="nil"/>
              <w:bottom w:val="nil"/>
              <w:right w:val="nil"/>
            </w:tcBorders>
            <w:shd w:val="clear" w:color="auto" w:fill="auto"/>
            <w:noWrap/>
            <w:hideMark/>
          </w:tcPr>
          <w:p w:rsidR="007F1447" w:rsidRPr="006E25C6" w:rsidRDefault="007F1447" w:rsidP="008817BA">
            <w:pPr>
              <w:tabs>
                <w:tab w:val="clear" w:pos="284"/>
              </w:tabs>
              <w:rPr>
                <w:sz w:val="20"/>
              </w:rPr>
            </w:pP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rPr>
                <w:sz w:val="20"/>
              </w:rPr>
            </w:pPr>
          </w:p>
        </w:tc>
        <w:tc>
          <w:tcPr>
            <w:tcW w:w="373" w:type="pct"/>
            <w:tcBorders>
              <w:top w:val="nil"/>
              <w:left w:val="nil"/>
              <w:bottom w:val="nil"/>
              <w:right w:val="nil"/>
            </w:tcBorders>
            <w:shd w:val="clear" w:color="auto" w:fill="auto"/>
            <w:noWrap/>
            <w:hideMark/>
          </w:tcPr>
          <w:p w:rsidR="007F1447" w:rsidRPr="006E25C6" w:rsidRDefault="007F1447" w:rsidP="008817BA">
            <w:pPr>
              <w:tabs>
                <w:tab w:val="clear" w:pos="284"/>
              </w:tabs>
              <w:rPr>
                <w:sz w:val="20"/>
              </w:rPr>
            </w:pPr>
          </w:p>
        </w:tc>
        <w:tc>
          <w:tcPr>
            <w:tcW w:w="389" w:type="pct"/>
            <w:tcBorders>
              <w:top w:val="nil"/>
              <w:left w:val="single" w:sz="4" w:space="0" w:color="auto"/>
              <w:bottom w:val="nil"/>
              <w:right w:val="single" w:sz="4" w:space="0" w:color="auto"/>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6E25C6" w:rsidTr="008817BA">
        <w:trPr>
          <w:trHeight w:val="255"/>
        </w:trPr>
        <w:tc>
          <w:tcPr>
            <w:tcW w:w="430" w:type="pct"/>
            <w:tcBorders>
              <w:top w:val="nil"/>
              <w:left w:val="single" w:sz="4" w:space="0" w:color="auto"/>
              <w:bottom w:val="nil"/>
              <w:right w:val="nil"/>
            </w:tcBorders>
            <w:shd w:val="clear" w:color="auto" w:fill="auto"/>
            <w:noWrap/>
            <w:hideMark/>
          </w:tcPr>
          <w:p w:rsidR="007F1447" w:rsidRPr="006E25C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53</w:t>
            </w:r>
          </w:p>
        </w:tc>
        <w:tc>
          <w:tcPr>
            <w:tcW w:w="1731" w:type="pct"/>
            <w:tcBorders>
              <w:top w:val="nil"/>
              <w:left w:val="single" w:sz="4" w:space="0" w:color="auto"/>
              <w:bottom w:val="nil"/>
              <w:right w:val="single" w:sz="4" w:space="0" w:color="auto"/>
            </w:tcBorders>
            <w:shd w:val="clear" w:color="auto" w:fill="auto"/>
            <w:noWrap/>
            <w:hideMark/>
          </w:tcPr>
          <w:p w:rsidR="007F1447" w:rsidRPr="006E25C6"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 xml:space="preserve">FRITIDSVIRKSOMHED  </w:t>
            </w: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rPr>
                <w:rFonts w:ascii="Arial Narrow" w:hAnsi="Arial Narrow" w:cs="Arial"/>
                <w:b/>
                <w:bCs/>
                <w:color w:val="000000"/>
                <w:sz w:val="20"/>
              </w:rPr>
            </w:pP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rPr>
                <w:sz w:val="20"/>
              </w:rPr>
            </w:pPr>
          </w:p>
        </w:tc>
        <w:tc>
          <w:tcPr>
            <w:tcW w:w="479" w:type="pct"/>
            <w:tcBorders>
              <w:top w:val="nil"/>
              <w:left w:val="nil"/>
              <w:bottom w:val="nil"/>
              <w:right w:val="nil"/>
            </w:tcBorders>
            <w:shd w:val="clear" w:color="auto" w:fill="auto"/>
            <w:noWrap/>
            <w:hideMark/>
          </w:tcPr>
          <w:p w:rsidR="007F1447" w:rsidRPr="006E25C6" w:rsidRDefault="007F1447" w:rsidP="008817BA">
            <w:pPr>
              <w:tabs>
                <w:tab w:val="clear" w:pos="284"/>
              </w:tabs>
              <w:rPr>
                <w:sz w:val="20"/>
              </w:rPr>
            </w:pPr>
          </w:p>
        </w:tc>
        <w:tc>
          <w:tcPr>
            <w:tcW w:w="432" w:type="pct"/>
            <w:tcBorders>
              <w:top w:val="nil"/>
              <w:left w:val="nil"/>
              <w:bottom w:val="nil"/>
              <w:right w:val="nil"/>
            </w:tcBorders>
            <w:shd w:val="clear" w:color="auto" w:fill="auto"/>
            <w:noWrap/>
            <w:hideMark/>
          </w:tcPr>
          <w:p w:rsidR="007F1447" w:rsidRPr="006E25C6" w:rsidRDefault="007F1447" w:rsidP="008817BA">
            <w:pPr>
              <w:tabs>
                <w:tab w:val="clear" w:pos="284"/>
              </w:tabs>
              <w:rPr>
                <w:sz w:val="20"/>
              </w:rPr>
            </w:pP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rPr>
                <w:sz w:val="20"/>
              </w:rPr>
            </w:pPr>
          </w:p>
        </w:tc>
        <w:tc>
          <w:tcPr>
            <w:tcW w:w="373" w:type="pct"/>
            <w:tcBorders>
              <w:top w:val="nil"/>
              <w:left w:val="nil"/>
              <w:bottom w:val="nil"/>
              <w:right w:val="nil"/>
            </w:tcBorders>
            <w:shd w:val="clear" w:color="auto" w:fill="auto"/>
            <w:noWrap/>
            <w:hideMark/>
          </w:tcPr>
          <w:p w:rsidR="007F1447" w:rsidRPr="006E25C6" w:rsidRDefault="007F1447" w:rsidP="008817BA">
            <w:pPr>
              <w:tabs>
                <w:tab w:val="clear" w:pos="284"/>
              </w:tabs>
              <w:rPr>
                <w:sz w:val="20"/>
              </w:rPr>
            </w:pPr>
          </w:p>
        </w:tc>
        <w:tc>
          <w:tcPr>
            <w:tcW w:w="389" w:type="pct"/>
            <w:tcBorders>
              <w:top w:val="nil"/>
              <w:left w:val="single" w:sz="4" w:space="0" w:color="auto"/>
              <w:bottom w:val="nil"/>
              <w:right w:val="single" w:sz="4" w:space="0" w:color="auto"/>
            </w:tcBorders>
            <w:shd w:val="clear" w:color="auto" w:fill="auto"/>
            <w:noWrap/>
            <w:hideMark/>
          </w:tcPr>
          <w:p w:rsidR="007F1447" w:rsidRPr="006E25C6"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 </w:t>
            </w:r>
          </w:p>
        </w:tc>
      </w:tr>
      <w:tr w:rsidR="007F1447" w:rsidRPr="006E25C6" w:rsidTr="008817BA">
        <w:trPr>
          <w:trHeight w:val="330"/>
        </w:trPr>
        <w:tc>
          <w:tcPr>
            <w:tcW w:w="430" w:type="pct"/>
            <w:tcBorders>
              <w:top w:val="nil"/>
              <w:left w:val="single" w:sz="4" w:space="0" w:color="auto"/>
              <w:bottom w:val="nil"/>
              <w:right w:val="nil"/>
            </w:tcBorders>
            <w:shd w:val="clear" w:color="auto" w:fill="auto"/>
            <w:noWrap/>
            <w:hideMark/>
          </w:tcPr>
          <w:p w:rsidR="007F1447" w:rsidRPr="006E25C6" w:rsidRDefault="007F1447" w:rsidP="008817BA">
            <w:pPr>
              <w:tabs>
                <w:tab w:val="clear" w:pos="284"/>
              </w:tabs>
              <w:jc w:val="center"/>
              <w:rPr>
                <w:rFonts w:ascii="Arial Narrow" w:hAnsi="Arial Narrow" w:cs="Arial"/>
                <w:b/>
                <w:bCs/>
                <w:color w:val="000000"/>
                <w:sz w:val="22"/>
                <w:szCs w:val="22"/>
              </w:rPr>
            </w:pPr>
            <w:r>
              <w:rPr>
                <w:rFonts w:ascii="Arial Narrow" w:hAnsi="Arial Narrow" w:cs="Arial"/>
                <w:b/>
                <w:bCs/>
                <w:color w:val="000000"/>
                <w:sz w:val="22"/>
                <w:szCs w:val="22"/>
              </w:rPr>
              <w:t> </w:t>
            </w:r>
          </w:p>
        </w:tc>
        <w:tc>
          <w:tcPr>
            <w:tcW w:w="1731" w:type="pct"/>
            <w:tcBorders>
              <w:top w:val="nil"/>
              <w:left w:val="single" w:sz="4" w:space="0" w:color="auto"/>
              <w:bottom w:val="nil"/>
              <w:right w:val="single" w:sz="4" w:space="0" w:color="auto"/>
            </w:tcBorders>
            <w:shd w:val="clear" w:color="auto" w:fill="auto"/>
            <w:noWrap/>
            <w:hideMark/>
          </w:tcPr>
          <w:p w:rsidR="007F1447" w:rsidRPr="006E25C6"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FRITID</w:t>
            </w: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rPr>
                <w:rFonts w:ascii="Arial Narrow" w:hAnsi="Arial Narrow" w:cs="Arial"/>
                <w:b/>
                <w:bCs/>
                <w:color w:val="000000"/>
                <w:sz w:val="20"/>
              </w:rPr>
            </w:pP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rPr>
                <w:sz w:val="20"/>
              </w:rPr>
            </w:pPr>
          </w:p>
        </w:tc>
        <w:tc>
          <w:tcPr>
            <w:tcW w:w="479" w:type="pct"/>
            <w:tcBorders>
              <w:top w:val="nil"/>
              <w:left w:val="nil"/>
              <w:bottom w:val="nil"/>
              <w:right w:val="nil"/>
            </w:tcBorders>
            <w:shd w:val="clear" w:color="auto" w:fill="auto"/>
            <w:noWrap/>
            <w:hideMark/>
          </w:tcPr>
          <w:p w:rsidR="007F1447" w:rsidRPr="006E25C6" w:rsidRDefault="007F1447" w:rsidP="008817BA">
            <w:pPr>
              <w:tabs>
                <w:tab w:val="clear" w:pos="284"/>
              </w:tabs>
              <w:rPr>
                <w:sz w:val="20"/>
              </w:rPr>
            </w:pPr>
          </w:p>
        </w:tc>
        <w:tc>
          <w:tcPr>
            <w:tcW w:w="432" w:type="pct"/>
            <w:tcBorders>
              <w:top w:val="nil"/>
              <w:left w:val="nil"/>
              <w:bottom w:val="nil"/>
              <w:right w:val="nil"/>
            </w:tcBorders>
            <w:shd w:val="clear" w:color="auto" w:fill="auto"/>
            <w:noWrap/>
            <w:hideMark/>
          </w:tcPr>
          <w:p w:rsidR="007F1447" w:rsidRPr="006E25C6" w:rsidRDefault="007F1447" w:rsidP="008817BA">
            <w:pPr>
              <w:tabs>
                <w:tab w:val="clear" w:pos="284"/>
              </w:tabs>
              <w:rPr>
                <w:sz w:val="20"/>
              </w:rPr>
            </w:pP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rPr>
                <w:sz w:val="20"/>
              </w:rPr>
            </w:pPr>
          </w:p>
        </w:tc>
        <w:tc>
          <w:tcPr>
            <w:tcW w:w="373" w:type="pct"/>
            <w:tcBorders>
              <w:top w:val="nil"/>
              <w:left w:val="nil"/>
              <w:bottom w:val="nil"/>
              <w:right w:val="nil"/>
            </w:tcBorders>
            <w:shd w:val="clear" w:color="auto" w:fill="auto"/>
            <w:noWrap/>
            <w:hideMark/>
          </w:tcPr>
          <w:p w:rsidR="007F1447" w:rsidRPr="006E25C6" w:rsidRDefault="007F1447" w:rsidP="008817BA">
            <w:pPr>
              <w:tabs>
                <w:tab w:val="clear" w:pos="284"/>
              </w:tabs>
              <w:rPr>
                <w:sz w:val="20"/>
              </w:rPr>
            </w:pPr>
          </w:p>
        </w:tc>
        <w:tc>
          <w:tcPr>
            <w:tcW w:w="389" w:type="pct"/>
            <w:tcBorders>
              <w:top w:val="nil"/>
              <w:left w:val="single" w:sz="4" w:space="0" w:color="auto"/>
              <w:bottom w:val="nil"/>
              <w:right w:val="single" w:sz="4" w:space="0" w:color="auto"/>
            </w:tcBorders>
            <w:shd w:val="clear" w:color="auto" w:fill="auto"/>
            <w:noWrap/>
            <w:hideMark/>
          </w:tcPr>
          <w:p w:rsidR="007F1447" w:rsidRPr="006E25C6" w:rsidRDefault="007F1447" w:rsidP="008817BA">
            <w:pPr>
              <w:tabs>
                <w:tab w:val="clear" w:pos="284"/>
              </w:tabs>
              <w:rPr>
                <w:rFonts w:ascii="Arial Narrow" w:hAnsi="Arial Narrow" w:cs="Arial"/>
                <w:b/>
                <w:bCs/>
                <w:color w:val="000000"/>
                <w:sz w:val="22"/>
                <w:szCs w:val="22"/>
              </w:rPr>
            </w:pPr>
            <w:r>
              <w:rPr>
                <w:rFonts w:ascii="Arial Narrow" w:hAnsi="Arial Narrow" w:cs="Arial"/>
                <w:b/>
                <w:bCs/>
                <w:color w:val="000000"/>
                <w:sz w:val="22"/>
                <w:szCs w:val="22"/>
              </w:rPr>
              <w:t> </w:t>
            </w:r>
          </w:p>
        </w:tc>
      </w:tr>
      <w:tr w:rsidR="007F1447" w:rsidRPr="006E25C6" w:rsidTr="008817BA">
        <w:trPr>
          <w:trHeight w:val="255"/>
        </w:trPr>
        <w:tc>
          <w:tcPr>
            <w:tcW w:w="430" w:type="pct"/>
            <w:tcBorders>
              <w:top w:val="nil"/>
              <w:left w:val="single" w:sz="4" w:space="0" w:color="auto"/>
              <w:bottom w:val="nil"/>
              <w:right w:val="nil"/>
            </w:tcBorders>
            <w:shd w:val="clear" w:color="auto" w:fill="auto"/>
            <w:noWrap/>
            <w:hideMark/>
          </w:tcPr>
          <w:p w:rsidR="007F1447" w:rsidRPr="006E25C6"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53-01</w:t>
            </w:r>
          </w:p>
        </w:tc>
        <w:tc>
          <w:tcPr>
            <w:tcW w:w="1731" w:type="pct"/>
            <w:tcBorders>
              <w:top w:val="nil"/>
              <w:left w:val="single" w:sz="4" w:space="0" w:color="auto"/>
              <w:bottom w:val="nil"/>
              <w:right w:val="single" w:sz="4" w:space="0" w:color="auto"/>
            </w:tcBorders>
            <w:shd w:val="clear" w:color="auto" w:fill="auto"/>
            <w:hideMark/>
          </w:tcPr>
          <w:p w:rsidR="007F1447" w:rsidRPr="006E25C6" w:rsidRDefault="007F1447" w:rsidP="008817BA">
            <w:pPr>
              <w:tabs>
                <w:tab w:val="clear" w:pos="284"/>
              </w:tabs>
              <w:rPr>
                <w:rFonts w:ascii="Arial Narrow" w:hAnsi="Arial Narrow" w:cs="Arial"/>
                <w:color w:val="000000"/>
                <w:sz w:val="20"/>
              </w:rPr>
            </w:pPr>
            <w:r>
              <w:rPr>
                <w:rFonts w:ascii="Arial Narrow" w:hAnsi="Arial Narrow" w:cs="Arial"/>
                <w:color w:val="000000"/>
                <w:sz w:val="20"/>
              </w:rPr>
              <w:t xml:space="preserve">FRITIDSUNDERVISNING </w:t>
            </w: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1.557</w:t>
            </w: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79"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32"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1.557</w:t>
            </w: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1.085</w:t>
            </w:r>
          </w:p>
        </w:tc>
        <w:tc>
          <w:tcPr>
            <w:tcW w:w="373"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472</w:t>
            </w:r>
          </w:p>
        </w:tc>
        <w:tc>
          <w:tcPr>
            <w:tcW w:w="389" w:type="pct"/>
            <w:tcBorders>
              <w:top w:val="nil"/>
              <w:left w:val="single" w:sz="4" w:space="0" w:color="auto"/>
              <w:bottom w:val="nil"/>
              <w:right w:val="single" w:sz="4" w:space="0" w:color="auto"/>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69,7</w:t>
            </w:r>
          </w:p>
        </w:tc>
      </w:tr>
      <w:tr w:rsidR="007F1447" w:rsidRPr="006E25C6" w:rsidTr="008817BA">
        <w:trPr>
          <w:trHeight w:val="255"/>
        </w:trPr>
        <w:tc>
          <w:tcPr>
            <w:tcW w:w="430" w:type="pct"/>
            <w:tcBorders>
              <w:top w:val="nil"/>
              <w:left w:val="single" w:sz="4" w:space="0" w:color="auto"/>
              <w:bottom w:val="nil"/>
              <w:right w:val="nil"/>
            </w:tcBorders>
            <w:shd w:val="clear" w:color="auto" w:fill="auto"/>
            <w:noWrap/>
            <w:hideMark/>
          </w:tcPr>
          <w:p w:rsidR="007F1447" w:rsidRPr="006E25C6"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53-03</w:t>
            </w:r>
          </w:p>
        </w:tc>
        <w:tc>
          <w:tcPr>
            <w:tcW w:w="1731" w:type="pct"/>
            <w:tcBorders>
              <w:top w:val="nil"/>
              <w:left w:val="single" w:sz="4" w:space="0" w:color="auto"/>
              <w:bottom w:val="nil"/>
              <w:right w:val="single" w:sz="4" w:space="0" w:color="auto"/>
            </w:tcBorders>
            <w:shd w:val="clear" w:color="auto" w:fill="auto"/>
            <w:hideMark/>
          </w:tcPr>
          <w:p w:rsidR="007F1447" w:rsidRPr="006E25C6" w:rsidRDefault="007F1447" w:rsidP="008817BA">
            <w:pPr>
              <w:tabs>
                <w:tab w:val="clear" w:pos="284"/>
              </w:tabs>
              <w:rPr>
                <w:rFonts w:ascii="Arial Narrow" w:hAnsi="Arial Narrow" w:cs="Arial"/>
                <w:color w:val="000000"/>
                <w:sz w:val="20"/>
              </w:rPr>
            </w:pPr>
            <w:r>
              <w:rPr>
                <w:rFonts w:ascii="Arial Narrow" w:hAnsi="Arial Narrow" w:cs="Arial"/>
                <w:color w:val="000000"/>
                <w:sz w:val="20"/>
              </w:rPr>
              <w:t>FRITIDSKLUBBER</w:t>
            </w: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3.683</w:t>
            </w: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79"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32"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3.683</w:t>
            </w: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3.313</w:t>
            </w:r>
          </w:p>
        </w:tc>
        <w:tc>
          <w:tcPr>
            <w:tcW w:w="373"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370</w:t>
            </w:r>
          </w:p>
        </w:tc>
        <w:tc>
          <w:tcPr>
            <w:tcW w:w="389" w:type="pct"/>
            <w:tcBorders>
              <w:top w:val="nil"/>
              <w:left w:val="single" w:sz="4" w:space="0" w:color="auto"/>
              <w:bottom w:val="nil"/>
              <w:right w:val="single" w:sz="4" w:space="0" w:color="auto"/>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90,0</w:t>
            </w:r>
          </w:p>
        </w:tc>
      </w:tr>
      <w:tr w:rsidR="007F1447" w:rsidRPr="006E25C6" w:rsidTr="008817BA">
        <w:trPr>
          <w:trHeight w:val="255"/>
        </w:trPr>
        <w:tc>
          <w:tcPr>
            <w:tcW w:w="430" w:type="pct"/>
            <w:tcBorders>
              <w:top w:val="nil"/>
              <w:left w:val="single" w:sz="4" w:space="0" w:color="auto"/>
              <w:bottom w:val="nil"/>
              <w:right w:val="nil"/>
            </w:tcBorders>
            <w:shd w:val="clear" w:color="auto" w:fill="auto"/>
            <w:noWrap/>
            <w:hideMark/>
          </w:tcPr>
          <w:p w:rsidR="007F1447" w:rsidRPr="006E25C6"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53-06</w:t>
            </w:r>
          </w:p>
        </w:tc>
        <w:tc>
          <w:tcPr>
            <w:tcW w:w="1731" w:type="pct"/>
            <w:tcBorders>
              <w:top w:val="nil"/>
              <w:left w:val="single" w:sz="4" w:space="0" w:color="auto"/>
              <w:bottom w:val="nil"/>
              <w:right w:val="single" w:sz="4" w:space="0" w:color="auto"/>
            </w:tcBorders>
            <w:shd w:val="clear" w:color="auto" w:fill="auto"/>
            <w:hideMark/>
          </w:tcPr>
          <w:p w:rsidR="007F1447" w:rsidRPr="006E25C6" w:rsidRDefault="007F1447" w:rsidP="008817BA">
            <w:pPr>
              <w:tabs>
                <w:tab w:val="clear" w:pos="284"/>
              </w:tabs>
              <w:rPr>
                <w:rFonts w:ascii="Arial Narrow" w:hAnsi="Arial Narrow" w:cs="Arial"/>
                <w:color w:val="000000"/>
                <w:sz w:val="20"/>
              </w:rPr>
            </w:pPr>
            <w:r>
              <w:rPr>
                <w:rFonts w:ascii="Arial Narrow" w:hAnsi="Arial Narrow" w:cs="Arial"/>
                <w:color w:val="000000"/>
                <w:sz w:val="20"/>
              </w:rPr>
              <w:t>KULTUR- OG FOLKEOPLYSNING</w:t>
            </w: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229</w:t>
            </w: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79"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32"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229</w:t>
            </w: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224</w:t>
            </w:r>
          </w:p>
        </w:tc>
        <w:tc>
          <w:tcPr>
            <w:tcW w:w="373"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5</w:t>
            </w:r>
          </w:p>
        </w:tc>
        <w:tc>
          <w:tcPr>
            <w:tcW w:w="389" w:type="pct"/>
            <w:tcBorders>
              <w:top w:val="nil"/>
              <w:left w:val="single" w:sz="4" w:space="0" w:color="auto"/>
              <w:bottom w:val="nil"/>
              <w:right w:val="single" w:sz="4" w:space="0" w:color="auto"/>
            </w:tcBorders>
            <w:shd w:val="clear" w:color="auto" w:fill="auto"/>
            <w:noWrap/>
            <w:hideMark/>
          </w:tcPr>
          <w:p w:rsidR="007F1447" w:rsidRPr="006E25C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97,7</w:t>
            </w:r>
          </w:p>
        </w:tc>
      </w:tr>
      <w:tr w:rsidR="007F1447" w:rsidRPr="006E25C6" w:rsidTr="008817BA">
        <w:trPr>
          <w:trHeight w:val="255"/>
        </w:trPr>
        <w:tc>
          <w:tcPr>
            <w:tcW w:w="430" w:type="pct"/>
            <w:tcBorders>
              <w:top w:val="single" w:sz="4" w:space="0" w:color="auto"/>
              <w:left w:val="single" w:sz="4" w:space="0" w:color="auto"/>
              <w:bottom w:val="nil"/>
              <w:right w:val="nil"/>
            </w:tcBorders>
            <w:shd w:val="clear" w:color="auto" w:fill="auto"/>
            <w:noWrap/>
            <w:hideMark/>
          </w:tcPr>
          <w:p w:rsidR="007F1447" w:rsidRPr="006E25C6" w:rsidRDefault="007F1447" w:rsidP="008817BA">
            <w:pPr>
              <w:tabs>
                <w:tab w:val="clear" w:pos="284"/>
              </w:tabs>
              <w:jc w:val="center"/>
              <w:rPr>
                <w:rFonts w:ascii="Arial" w:hAnsi="Arial" w:cs="Arial"/>
                <w:color w:val="000000"/>
                <w:sz w:val="20"/>
              </w:rPr>
            </w:pPr>
            <w:r>
              <w:rPr>
                <w:rFonts w:ascii="Arial" w:hAnsi="Arial" w:cs="Arial"/>
                <w:color w:val="000000"/>
                <w:sz w:val="20"/>
              </w:rPr>
              <w:t> </w:t>
            </w:r>
          </w:p>
        </w:tc>
        <w:tc>
          <w:tcPr>
            <w:tcW w:w="1731" w:type="pct"/>
            <w:tcBorders>
              <w:top w:val="single" w:sz="4" w:space="0" w:color="auto"/>
              <w:left w:val="single" w:sz="4" w:space="0" w:color="auto"/>
              <w:bottom w:val="nil"/>
              <w:right w:val="single" w:sz="4" w:space="0" w:color="auto"/>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89" w:type="pct"/>
            <w:tcBorders>
              <w:top w:val="single" w:sz="4" w:space="0" w:color="auto"/>
              <w:left w:val="nil"/>
              <w:bottom w:val="nil"/>
              <w:right w:val="nil"/>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89" w:type="pct"/>
            <w:tcBorders>
              <w:top w:val="single" w:sz="4" w:space="0" w:color="auto"/>
              <w:left w:val="nil"/>
              <w:bottom w:val="nil"/>
              <w:right w:val="nil"/>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79" w:type="pct"/>
            <w:tcBorders>
              <w:top w:val="single" w:sz="4" w:space="0" w:color="auto"/>
              <w:left w:val="nil"/>
              <w:bottom w:val="nil"/>
              <w:right w:val="nil"/>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32" w:type="pct"/>
            <w:tcBorders>
              <w:top w:val="single" w:sz="4" w:space="0" w:color="auto"/>
              <w:left w:val="nil"/>
              <w:bottom w:val="nil"/>
              <w:right w:val="nil"/>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89" w:type="pct"/>
            <w:tcBorders>
              <w:top w:val="single" w:sz="4" w:space="0" w:color="auto"/>
              <w:left w:val="nil"/>
              <w:bottom w:val="nil"/>
              <w:right w:val="nil"/>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73" w:type="pct"/>
            <w:tcBorders>
              <w:top w:val="single" w:sz="4" w:space="0" w:color="auto"/>
              <w:left w:val="nil"/>
              <w:bottom w:val="nil"/>
              <w:right w:val="nil"/>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89" w:type="pct"/>
            <w:tcBorders>
              <w:top w:val="single" w:sz="4" w:space="0" w:color="auto"/>
              <w:left w:val="single" w:sz="4" w:space="0" w:color="auto"/>
              <w:bottom w:val="nil"/>
              <w:right w:val="single" w:sz="4" w:space="0" w:color="auto"/>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6E25C6" w:rsidTr="008817BA">
        <w:trPr>
          <w:trHeight w:val="255"/>
        </w:trPr>
        <w:tc>
          <w:tcPr>
            <w:tcW w:w="430" w:type="pct"/>
            <w:tcBorders>
              <w:top w:val="nil"/>
              <w:left w:val="single" w:sz="4" w:space="0" w:color="auto"/>
              <w:bottom w:val="nil"/>
              <w:right w:val="nil"/>
            </w:tcBorders>
            <w:shd w:val="clear" w:color="auto" w:fill="auto"/>
            <w:noWrap/>
            <w:hideMark/>
          </w:tcPr>
          <w:p w:rsidR="007F1447" w:rsidRPr="006E25C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53</w:t>
            </w:r>
          </w:p>
        </w:tc>
        <w:tc>
          <w:tcPr>
            <w:tcW w:w="1731" w:type="pct"/>
            <w:tcBorders>
              <w:top w:val="nil"/>
              <w:left w:val="single" w:sz="4" w:space="0" w:color="auto"/>
              <w:bottom w:val="nil"/>
              <w:right w:val="single" w:sz="4" w:space="0" w:color="auto"/>
            </w:tcBorders>
            <w:shd w:val="clear" w:color="auto" w:fill="auto"/>
            <w:noWrap/>
            <w:hideMark/>
          </w:tcPr>
          <w:p w:rsidR="007F1447" w:rsidRPr="006E25C6"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 xml:space="preserve">FRITIDSVIRKSOMHED  </w:t>
            </w: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5.469</w:t>
            </w: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0</w:t>
            </w:r>
          </w:p>
        </w:tc>
        <w:tc>
          <w:tcPr>
            <w:tcW w:w="479"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0</w:t>
            </w:r>
          </w:p>
        </w:tc>
        <w:tc>
          <w:tcPr>
            <w:tcW w:w="432"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5.469</w:t>
            </w:r>
          </w:p>
        </w:tc>
        <w:tc>
          <w:tcPr>
            <w:tcW w:w="389"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4.622</w:t>
            </w:r>
          </w:p>
        </w:tc>
        <w:tc>
          <w:tcPr>
            <w:tcW w:w="373" w:type="pct"/>
            <w:tcBorders>
              <w:top w:val="nil"/>
              <w:left w:val="nil"/>
              <w:bottom w:val="nil"/>
              <w:right w:val="nil"/>
            </w:tcBorders>
            <w:shd w:val="clear" w:color="auto" w:fill="auto"/>
            <w:noWrap/>
            <w:hideMark/>
          </w:tcPr>
          <w:p w:rsidR="007F1447" w:rsidRPr="006E25C6"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847</w:t>
            </w:r>
          </w:p>
        </w:tc>
        <w:tc>
          <w:tcPr>
            <w:tcW w:w="389" w:type="pct"/>
            <w:tcBorders>
              <w:top w:val="nil"/>
              <w:left w:val="single" w:sz="4" w:space="0" w:color="auto"/>
              <w:bottom w:val="nil"/>
              <w:right w:val="single" w:sz="4" w:space="0" w:color="auto"/>
            </w:tcBorders>
            <w:shd w:val="clear" w:color="auto" w:fill="auto"/>
            <w:noWrap/>
            <w:hideMark/>
          </w:tcPr>
          <w:p w:rsidR="007F1447" w:rsidRPr="006E25C6"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84,5</w:t>
            </w:r>
          </w:p>
        </w:tc>
      </w:tr>
      <w:tr w:rsidR="007F1447" w:rsidRPr="006E25C6" w:rsidTr="008817BA">
        <w:trPr>
          <w:trHeight w:val="255"/>
        </w:trPr>
        <w:tc>
          <w:tcPr>
            <w:tcW w:w="430" w:type="pct"/>
            <w:tcBorders>
              <w:top w:val="nil"/>
              <w:left w:val="single" w:sz="4" w:space="0" w:color="auto"/>
              <w:bottom w:val="single" w:sz="4" w:space="0" w:color="auto"/>
              <w:right w:val="nil"/>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1731" w:type="pct"/>
            <w:tcBorders>
              <w:top w:val="nil"/>
              <w:left w:val="single" w:sz="4" w:space="0" w:color="auto"/>
              <w:bottom w:val="single" w:sz="4" w:space="0" w:color="auto"/>
              <w:right w:val="single" w:sz="4" w:space="0" w:color="auto"/>
            </w:tcBorders>
            <w:shd w:val="clear" w:color="auto" w:fill="auto"/>
            <w:noWrap/>
            <w:hideMark/>
          </w:tcPr>
          <w:p w:rsidR="007F1447" w:rsidRPr="006E25C6"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FRITID</w:t>
            </w:r>
          </w:p>
        </w:tc>
        <w:tc>
          <w:tcPr>
            <w:tcW w:w="389" w:type="pct"/>
            <w:tcBorders>
              <w:top w:val="nil"/>
              <w:left w:val="nil"/>
              <w:bottom w:val="single" w:sz="4" w:space="0" w:color="auto"/>
              <w:right w:val="nil"/>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89" w:type="pct"/>
            <w:tcBorders>
              <w:top w:val="nil"/>
              <w:left w:val="nil"/>
              <w:bottom w:val="single" w:sz="4" w:space="0" w:color="auto"/>
              <w:right w:val="nil"/>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79" w:type="pct"/>
            <w:tcBorders>
              <w:top w:val="nil"/>
              <w:left w:val="nil"/>
              <w:bottom w:val="single" w:sz="4" w:space="0" w:color="auto"/>
              <w:right w:val="nil"/>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32" w:type="pct"/>
            <w:tcBorders>
              <w:top w:val="nil"/>
              <w:left w:val="nil"/>
              <w:bottom w:val="single" w:sz="4" w:space="0" w:color="auto"/>
              <w:right w:val="nil"/>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89" w:type="pct"/>
            <w:tcBorders>
              <w:top w:val="nil"/>
              <w:left w:val="nil"/>
              <w:bottom w:val="single" w:sz="4" w:space="0" w:color="auto"/>
              <w:right w:val="nil"/>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73" w:type="pct"/>
            <w:tcBorders>
              <w:top w:val="nil"/>
              <w:left w:val="nil"/>
              <w:bottom w:val="single" w:sz="4" w:space="0" w:color="auto"/>
              <w:right w:val="nil"/>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89" w:type="pct"/>
            <w:tcBorders>
              <w:top w:val="nil"/>
              <w:left w:val="single" w:sz="4" w:space="0" w:color="auto"/>
              <w:bottom w:val="single" w:sz="4" w:space="0" w:color="auto"/>
              <w:right w:val="single" w:sz="4" w:space="0" w:color="auto"/>
            </w:tcBorders>
            <w:shd w:val="clear" w:color="auto" w:fill="auto"/>
            <w:noWrap/>
            <w:hideMark/>
          </w:tcPr>
          <w:p w:rsidR="007F1447" w:rsidRPr="006E25C6" w:rsidRDefault="007F1447" w:rsidP="008817BA">
            <w:pPr>
              <w:tabs>
                <w:tab w:val="clear" w:pos="284"/>
              </w:tabs>
              <w:rPr>
                <w:rFonts w:ascii="Arial" w:hAnsi="Arial" w:cs="Arial"/>
                <w:color w:val="000000"/>
                <w:sz w:val="20"/>
              </w:rPr>
            </w:pPr>
            <w:r>
              <w:rPr>
                <w:rFonts w:ascii="Arial" w:hAnsi="Arial" w:cs="Arial"/>
                <w:color w:val="000000"/>
                <w:sz w:val="20"/>
              </w:rPr>
              <w:t> </w:t>
            </w:r>
          </w:p>
        </w:tc>
      </w:tr>
    </w:tbl>
    <w:p w:rsidR="007F1447" w:rsidRPr="00490CE0" w:rsidRDefault="007F1447" w:rsidP="007F1447">
      <w:pPr>
        <w:tabs>
          <w:tab w:val="clear" w:pos="284"/>
        </w:tabs>
        <w:rPr>
          <w:b/>
          <w:lang w:val="kl-GL"/>
        </w:rPr>
      </w:pPr>
    </w:p>
    <w:p w:rsidR="007F1447" w:rsidRPr="003713C8" w:rsidRDefault="007F1447" w:rsidP="007F1447">
      <w:pPr>
        <w:tabs>
          <w:tab w:val="clear" w:pos="284"/>
        </w:tabs>
        <w:rPr>
          <w:b/>
          <w:lang w:val="kl-GL"/>
        </w:rPr>
      </w:pPr>
      <w:r>
        <w:rPr>
          <w:b/>
        </w:rPr>
        <w:t>Fritidsvirksomhed: forbruget på konto 53 ligger på 84,5 %.</w:t>
      </w:r>
    </w:p>
    <w:p w:rsidR="007F1447" w:rsidRPr="00490CE0" w:rsidRDefault="007F1447" w:rsidP="007F1447">
      <w:pPr>
        <w:rPr>
          <w:lang w:val="kl-GL"/>
        </w:rPr>
      </w:pPr>
      <w:r>
        <w:t>53-01-20-01-11 Fritids aftenundervisning har et forbrug på 72,1 %, der skal igen have en forbrug til oktober, november og december.</w:t>
      </w:r>
    </w:p>
    <w:p w:rsidR="007F1447" w:rsidRPr="00490CE0" w:rsidRDefault="007F1447" w:rsidP="007F1447">
      <w:pPr>
        <w:rPr>
          <w:lang w:val="kl-GL"/>
        </w:rPr>
      </w:pPr>
      <w:r>
        <w:t xml:space="preserve">53-01-25-05-00 Udgifter til Musikskolens personale ligger på 136,2 %, på grund af udgiftsposter i forbindelse med </w:t>
      </w:r>
      <w:proofErr w:type="spellStart"/>
      <w:r>
        <w:t>nyansættelse</w:t>
      </w:r>
      <w:proofErr w:type="spellEnd"/>
      <w:r>
        <w:t xml:space="preserve"> af medarbejder.</w:t>
      </w:r>
    </w:p>
    <w:p w:rsidR="007F1447" w:rsidRPr="00490CE0" w:rsidRDefault="007F1447" w:rsidP="007F1447">
      <w:pPr>
        <w:rPr>
          <w:lang w:val="kl-GL"/>
        </w:rPr>
      </w:pPr>
      <w:r>
        <w:t xml:space="preserve">53-03-70 ligger på 21,3 %, åbningstiderne for </w:t>
      </w:r>
      <w:proofErr w:type="spellStart"/>
      <w:r>
        <w:t>Napasoq</w:t>
      </w:r>
      <w:proofErr w:type="spellEnd"/>
      <w:r>
        <w:t xml:space="preserve"> klubben er ændret, da der kun er få unge.</w:t>
      </w:r>
    </w:p>
    <w:p w:rsidR="007F1447" w:rsidRPr="00490CE0" w:rsidRDefault="007F1447" w:rsidP="007F1447">
      <w:pPr>
        <w:rPr>
          <w:lang w:val="kl-GL"/>
        </w:rPr>
      </w:pPr>
      <w:r>
        <w:t xml:space="preserve">53-03-80 ligger på 57,9 % Eftermiddagsklubben for børn og aftenklubben for unge i </w:t>
      </w:r>
      <w:proofErr w:type="spellStart"/>
      <w:r>
        <w:t>Atammik</w:t>
      </w:r>
      <w:proofErr w:type="spellEnd"/>
      <w:r>
        <w:t xml:space="preserve"> pågår godt, efter lukning i skoleferien, starter udgifterne for timelønnede igen efter skolestart.</w:t>
      </w:r>
    </w:p>
    <w:p w:rsidR="007F1447" w:rsidRPr="00490CE0" w:rsidRDefault="007F1447" w:rsidP="007F1447">
      <w:pPr>
        <w:rPr>
          <w:lang w:val="kl-GL"/>
        </w:rPr>
      </w:pPr>
      <w:r>
        <w:t>53-06-20 Forskellige kultur og oplysninger ligger på 97,7 %.</w:t>
      </w:r>
    </w:p>
    <w:p w:rsidR="007F1447" w:rsidRPr="00490CE0" w:rsidRDefault="007F1447" w:rsidP="007F1447">
      <w:pPr>
        <w:tabs>
          <w:tab w:val="clear" w:pos="284"/>
        </w:tabs>
        <w:rPr>
          <w:lang w:val="kl-GL"/>
        </w:rPr>
      </w:pPr>
    </w:p>
    <w:p w:rsidR="007F1447" w:rsidRPr="00A84D0F" w:rsidRDefault="007F1447" w:rsidP="007F1447">
      <w:pPr>
        <w:tabs>
          <w:tab w:val="clear" w:pos="284"/>
        </w:tabs>
        <w:rPr>
          <w:b/>
          <w:lang w:val="kl-GL"/>
        </w:rPr>
      </w:pPr>
      <w:r w:rsidRPr="00A84D0F">
        <w:rPr>
          <w:b/>
        </w:rPr>
        <w:t>Konto 55 Museum Maniitsoq + Bygder.</w:t>
      </w:r>
    </w:p>
    <w:tbl>
      <w:tblPr>
        <w:tblW w:w="5000" w:type="pct"/>
        <w:tblCellMar>
          <w:left w:w="70" w:type="dxa"/>
          <w:right w:w="70" w:type="dxa"/>
        </w:tblCellMar>
        <w:tblLook w:val="04A0" w:firstRow="1" w:lastRow="0" w:firstColumn="1" w:lastColumn="0" w:noHBand="0" w:noVBand="1"/>
      </w:tblPr>
      <w:tblGrid>
        <w:gridCol w:w="909"/>
        <w:gridCol w:w="2704"/>
        <w:gridCol w:w="824"/>
        <w:gridCol w:w="824"/>
        <w:gridCol w:w="1015"/>
        <w:gridCol w:w="915"/>
        <w:gridCol w:w="824"/>
        <w:gridCol w:w="789"/>
        <w:gridCol w:w="824"/>
      </w:tblGrid>
      <w:tr w:rsidR="007F1447" w:rsidRPr="00680A96" w:rsidTr="008817BA">
        <w:trPr>
          <w:trHeight w:val="255"/>
        </w:trPr>
        <w:tc>
          <w:tcPr>
            <w:tcW w:w="472" w:type="pct"/>
            <w:tcBorders>
              <w:top w:val="single" w:sz="4" w:space="0" w:color="auto"/>
              <w:left w:val="single" w:sz="4" w:space="0" w:color="auto"/>
              <w:bottom w:val="nil"/>
              <w:right w:val="nil"/>
            </w:tcBorders>
            <w:shd w:val="clear" w:color="000000" w:fill="D9D9D9"/>
            <w:noWrap/>
            <w:hideMark/>
          </w:tcPr>
          <w:p w:rsidR="007F1447" w:rsidRPr="00B330A9" w:rsidRDefault="007F1447" w:rsidP="008817BA">
            <w:pPr>
              <w:tabs>
                <w:tab w:val="clear" w:pos="284"/>
              </w:tabs>
              <w:rPr>
                <w:rFonts w:ascii="Arial" w:hAnsi="Arial" w:cs="Arial"/>
                <w:color w:val="000000"/>
                <w:sz w:val="20"/>
                <w:lang w:val="kl-GL"/>
              </w:rPr>
            </w:pPr>
            <w:r>
              <w:rPr>
                <w:rFonts w:ascii="Arial" w:hAnsi="Arial" w:cs="Arial"/>
                <w:color w:val="000000"/>
                <w:sz w:val="20"/>
              </w:rPr>
              <w:t> </w:t>
            </w:r>
          </w:p>
        </w:tc>
        <w:tc>
          <w:tcPr>
            <w:tcW w:w="1404" w:type="pct"/>
            <w:tcBorders>
              <w:top w:val="single" w:sz="4" w:space="0" w:color="auto"/>
              <w:left w:val="single" w:sz="4" w:space="0" w:color="auto"/>
              <w:bottom w:val="nil"/>
              <w:right w:val="single" w:sz="4" w:space="0" w:color="auto"/>
            </w:tcBorders>
            <w:shd w:val="clear" w:color="000000" w:fill="D9D9D9"/>
            <w:noWrap/>
            <w:hideMark/>
          </w:tcPr>
          <w:p w:rsidR="007F1447" w:rsidRPr="00B330A9" w:rsidRDefault="007F1447" w:rsidP="008817BA">
            <w:pPr>
              <w:tabs>
                <w:tab w:val="clear" w:pos="284"/>
              </w:tabs>
              <w:rPr>
                <w:rFonts w:ascii="Arial" w:hAnsi="Arial" w:cs="Arial"/>
                <w:color w:val="000000"/>
                <w:sz w:val="20"/>
                <w:lang w:val="kl-GL"/>
              </w:rPr>
            </w:pPr>
            <w:r>
              <w:rPr>
                <w:rFonts w:ascii="Arial" w:hAnsi="Arial" w:cs="Arial"/>
                <w:color w:val="000000"/>
                <w:sz w:val="20"/>
              </w:rPr>
              <w:t> </w:t>
            </w:r>
          </w:p>
        </w:tc>
        <w:tc>
          <w:tcPr>
            <w:tcW w:w="428" w:type="pct"/>
            <w:tcBorders>
              <w:top w:val="single" w:sz="4" w:space="0" w:color="auto"/>
              <w:left w:val="nil"/>
              <w:bottom w:val="nil"/>
              <w:right w:val="nil"/>
            </w:tcBorders>
            <w:shd w:val="clear" w:color="000000" w:fill="D9D9D9"/>
            <w:noWrap/>
            <w:hideMark/>
          </w:tcPr>
          <w:p w:rsidR="007F1447" w:rsidRPr="00680A9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Budget</w:t>
            </w:r>
          </w:p>
        </w:tc>
        <w:tc>
          <w:tcPr>
            <w:tcW w:w="428" w:type="pct"/>
            <w:tcBorders>
              <w:top w:val="single" w:sz="4" w:space="0" w:color="auto"/>
              <w:left w:val="nil"/>
              <w:bottom w:val="nil"/>
              <w:right w:val="nil"/>
            </w:tcBorders>
            <w:shd w:val="clear" w:color="000000" w:fill="D9D9D9"/>
            <w:noWrap/>
            <w:hideMark/>
          </w:tcPr>
          <w:p w:rsidR="007F1447" w:rsidRPr="00680A9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Tillæg</w:t>
            </w:r>
          </w:p>
        </w:tc>
        <w:tc>
          <w:tcPr>
            <w:tcW w:w="527" w:type="pct"/>
            <w:tcBorders>
              <w:top w:val="single" w:sz="4" w:space="0" w:color="auto"/>
              <w:left w:val="nil"/>
              <w:bottom w:val="nil"/>
              <w:right w:val="nil"/>
            </w:tcBorders>
            <w:shd w:val="clear" w:color="000000" w:fill="D9D9D9"/>
            <w:noWrap/>
            <w:hideMark/>
          </w:tcPr>
          <w:p w:rsidR="007F1447" w:rsidRPr="00680A96" w:rsidRDefault="007F1447" w:rsidP="008817BA">
            <w:pPr>
              <w:tabs>
                <w:tab w:val="clear" w:pos="284"/>
              </w:tabs>
              <w:jc w:val="center"/>
              <w:rPr>
                <w:rFonts w:ascii="Arial Narrow" w:hAnsi="Arial Narrow" w:cs="Arial"/>
                <w:b/>
                <w:bCs/>
                <w:color w:val="000000"/>
                <w:sz w:val="20"/>
              </w:rPr>
            </w:pPr>
            <w:proofErr w:type="spellStart"/>
            <w:r>
              <w:rPr>
                <w:rFonts w:ascii="Arial Narrow" w:hAnsi="Arial Narrow" w:cs="Arial"/>
                <w:b/>
                <w:bCs/>
                <w:color w:val="000000"/>
                <w:sz w:val="20"/>
              </w:rPr>
              <w:t>Omplac</w:t>
            </w:r>
            <w:proofErr w:type="spellEnd"/>
            <w:r>
              <w:rPr>
                <w:rFonts w:ascii="Arial Narrow" w:hAnsi="Arial Narrow" w:cs="Arial"/>
                <w:b/>
                <w:bCs/>
                <w:color w:val="000000"/>
                <w:sz w:val="20"/>
              </w:rPr>
              <w:t>.</w:t>
            </w:r>
          </w:p>
        </w:tc>
        <w:tc>
          <w:tcPr>
            <w:tcW w:w="475" w:type="pct"/>
            <w:tcBorders>
              <w:top w:val="single" w:sz="4" w:space="0" w:color="auto"/>
              <w:left w:val="nil"/>
              <w:bottom w:val="nil"/>
              <w:right w:val="nil"/>
            </w:tcBorders>
            <w:shd w:val="clear" w:color="000000" w:fill="D9D9D9"/>
            <w:noWrap/>
            <w:hideMark/>
          </w:tcPr>
          <w:p w:rsidR="007F1447" w:rsidRPr="00680A9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Bevilling</w:t>
            </w:r>
          </w:p>
        </w:tc>
        <w:tc>
          <w:tcPr>
            <w:tcW w:w="428" w:type="pct"/>
            <w:tcBorders>
              <w:top w:val="single" w:sz="4" w:space="0" w:color="auto"/>
              <w:left w:val="nil"/>
              <w:bottom w:val="nil"/>
              <w:right w:val="nil"/>
            </w:tcBorders>
            <w:shd w:val="clear" w:color="000000" w:fill="D9D9D9"/>
            <w:noWrap/>
            <w:hideMark/>
          </w:tcPr>
          <w:p w:rsidR="007F1447" w:rsidRPr="00680A9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Forbrug</w:t>
            </w:r>
          </w:p>
        </w:tc>
        <w:tc>
          <w:tcPr>
            <w:tcW w:w="410" w:type="pct"/>
            <w:tcBorders>
              <w:top w:val="single" w:sz="4" w:space="0" w:color="auto"/>
              <w:left w:val="nil"/>
              <w:bottom w:val="nil"/>
              <w:right w:val="nil"/>
            </w:tcBorders>
            <w:shd w:val="clear" w:color="000000" w:fill="D9D9D9"/>
            <w:noWrap/>
            <w:hideMark/>
          </w:tcPr>
          <w:p w:rsidR="007F1447" w:rsidRPr="00680A9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Rest</w:t>
            </w:r>
          </w:p>
        </w:tc>
        <w:tc>
          <w:tcPr>
            <w:tcW w:w="428" w:type="pct"/>
            <w:tcBorders>
              <w:top w:val="single" w:sz="4" w:space="0" w:color="auto"/>
              <w:left w:val="single" w:sz="4" w:space="0" w:color="auto"/>
              <w:bottom w:val="nil"/>
              <w:right w:val="single" w:sz="4" w:space="0" w:color="auto"/>
            </w:tcBorders>
            <w:shd w:val="clear" w:color="000000" w:fill="D9D9D9"/>
            <w:noWrap/>
            <w:hideMark/>
          </w:tcPr>
          <w:p w:rsidR="007F1447" w:rsidRPr="00680A9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Forbrug</w:t>
            </w:r>
          </w:p>
        </w:tc>
      </w:tr>
      <w:tr w:rsidR="007F1447" w:rsidRPr="00680A96" w:rsidTr="008817BA">
        <w:trPr>
          <w:trHeight w:val="270"/>
        </w:trPr>
        <w:tc>
          <w:tcPr>
            <w:tcW w:w="472" w:type="pct"/>
            <w:tcBorders>
              <w:top w:val="nil"/>
              <w:left w:val="single" w:sz="4" w:space="0" w:color="auto"/>
              <w:bottom w:val="single" w:sz="4" w:space="0" w:color="auto"/>
              <w:right w:val="nil"/>
            </w:tcBorders>
            <w:shd w:val="clear" w:color="000000" w:fill="D9D9D9"/>
            <w:noWrap/>
            <w:hideMark/>
          </w:tcPr>
          <w:p w:rsidR="007F1447" w:rsidRPr="00680A96" w:rsidRDefault="007F1447" w:rsidP="008817BA">
            <w:pPr>
              <w:tabs>
                <w:tab w:val="clear" w:pos="284"/>
              </w:tabs>
              <w:rPr>
                <w:rFonts w:ascii="Arial" w:hAnsi="Arial" w:cs="Arial"/>
                <w:b/>
                <w:bCs/>
                <w:color w:val="000000"/>
                <w:sz w:val="20"/>
              </w:rPr>
            </w:pPr>
            <w:r>
              <w:rPr>
                <w:rFonts w:ascii="Arial" w:hAnsi="Arial" w:cs="Arial"/>
                <w:b/>
                <w:bCs/>
                <w:color w:val="000000"/>
                <w:sz w:val="20"/>
              </w:rPr>
              <w:t>Konto</w:t>
            </w:r>
          </w:p>
        </w:tc>
        <w:tc>
          <w:tcPr>
            <w:tcW w:w="1404" w:type="pct"/>
            <w:tcBorders>
              <w:top w:val="nil"/>
              <w:left w:val="single" w:sz="4" w:space="0" w:color="auto"/>
              <w:bottom w:val="single" w:sz="4" w:space="0" w:color="auto"/>
              <w:right w:val="single" w:sz="4" w:space="0" w:color="auto"/>
            </w:tcBorders>
            <w:shd w:val="clear" w:color="000000" w:fill="D9D9D9"/>
            <w:noWrap/>
            <w:hideMark/>
          </w:tcPr>
          <w:p w:rsidR="007F1447" w:rsidRPr="00680A96" w:rsidRDefault="007F1447" w:rsidP="008817BA">
            <w:pPr>
              <w:tabs>
                <w:tab w:val="clear" w:pos="284"/>
              </w:tabs>
              <w:rPr>
                <w:rFonts w:ascii="Arial" w:hAnsi="Arial" w:cs="Arial"/>
                <w:b/>
                <w:bCs/>
                <w:color w:val="000000"/>
                <w:sz w:val="20"/>
              </w:rPr>
            </w:pPr>
            <w:r>
              <w:rPr>
                <w:rFonts w:ascii="Arial" w:hAnsi="Arial" w:cs="Arial"/>
                <w:b/>
                <w:bCs/>
                <w:color w:val="000000"/>
                <w:sz w:val="20"/>
              </w:rPr>
              <w:t>Kontonavn</w:t>
            </w:r>
          </w:p>
        </w:tc>
        <w:tc>
          <w:tcPr>
            <w:tcW w:w="428" w:type="pct"/>
            <w:tcBorders>
              <w:top w:val="nil"/>
              <w:left w:val="nil"/>
              <w:bottom w:val="single" w:sz="4" w:space="0" w:color="auto"/>
              <w:right w:val="nil"/>
            </w:tcBorders>
            <w:shd w:val="clear" w:color="000000" w:fill="D9D9D9"/>
            <w:hideMark/>
          </w:tcPr>
          <w:p w:rsidR="007F1447" w:rsidRPr="00680A96"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28" w:type="pct"/>
            <w:tcBorders>
              <w:top w:val="nil"/>
              <w:left w:val="nil"/>
              <w:bottom w:val="single" w:sz="4" w:space="0" w:color="auto"/>
              <w:right w:val="nil"/>
            </w:tcBorders>
            <w:shd w:val="clear" w:color="000000" w:fill="D9D9D9"/>
            <w:hideMark/>
          </w:tcPr>
          <w:p w:rsidR="007F1447" w:rsidRPr="00680A96"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527" w:type="pct"/>
            <w:tcBorders>
              <w:top w:val="nil"/>
              <w:left w:val="nil"/>
              <w:bottom w:val="single" w:sz="4" w:space="0" w:color="auto"/>
              <w:right w:val="nil"/>
            </w:tcBorders>
            <w:shd w:val="clear" w:color="000000" w:fill="D9D9D9"/>
            <w:hideMark/>
          </w:tcPr>
          <w:p w:rsidR="007F1447" w:rsidRPr="00680A96"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75" w:type="pct"/>
            <w:tcBorders>
              <w:top w:val="nil"/>
              <w:left w:val="nil"/>
              <w:bottom w:val="single" w:sz="4" w:space="0" w:color="auto"/>
              <w:right w:val="nil"/>
            </w:tcBorders>
            <w:shd w:val="clear" w:color="000000" w:fill="D9D9D9"/>
            <w:hideMark/>
          </w:tcPr>
          <w:p w:rsidR="007F1447" w:rsidRPr="00680A96"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28" w:type="pct"/>
            <w:tcBorders>
              <w:top w:val="nil"/>
              <w:left w:val="nil"/>
              <w:bottom w:val="single" w:sz="4" w:space="0" w:color="auto"/>
              <w:right w:val="nil"/>
            </w:tcBorders>
            <w:shd w:val="clear" w:color="000000" w:fill="D9D9D9"/>
            <w:hideMark/>
          </w:tcPr>
          <w:p w:rsidR="007F1447" w:rsidRPr="00680A96"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10" w:type="pct"/>
            <w:tcBorders>
              <w:top w:val="nil"/>
              <w:left w:val="nil"/>
              <w:bottom w:val="single" w:sz="4" w:space="0" w:color="auto"/>
              <w:right w:val="nil"/>
            </w:tcBorders>
            <w:shd w:val="clear" w:color="000000" w:fill="D9D9D9"/>
            <w:hideMark/>
          </w:tcPr>
          <w:p w:rsidR="007F1447" w:rsidRPr="00680A96"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28" w:type="pct"/>
            <w:tcBorders>
              <w:top w:val="nil"/>
              <w:left w:val="single" w:sz="4" w:space="0" w:color="auto"/>
              <w:bottom w:val="single" w:sz="4" w:space="0" w:color="auto"/>
              <w:right w:val="single" w:sz="4" w:space="0" w:color="auto"/>
            </w:tcBorders>
            <w:shd w:val="clear" w:color="000000" w:fill="D9D9D9"/>
            <w:noWrap/>
            <w:hideMark/>
          </w:tcPr>
          <w:p w:rsidR="007F1447" w:rsidRPr="00680A9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i %</w:t>
            </w:r>
          </w:p>
        </w:tc>
      </w:tr>
      <w:tr w:rsidR="007F1447" w:rsidRPr="00680A96" w:rsidTr="008817BA">
        <w:trPr>
          <w:trHeight w:val="255"/>
        </w:trPr>
        <w:tc>
          <w:tcPr>
            <w:tcW w:w="472" w:type="pct"/>
            <w:tcBorders>
              <w:top w:val="nil"/>
              <w:left w:val="single" w:sz="4" w:space="0" w:color="auto"/>
              <w:bottom w:val="nil"/>
              <w:right w:val="nil"/>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1404" w:type="pct"/>
            <w:tcBorders>
              <w:top w:val="nil"/>
              <w:left w:val="single" w:sz="4" w:space="0" w:color="auto"/>
              <w:bottom w:val="nil"/>
              <w:right w:val="single" w:sz="4" w:space="0" w:color="auto"/>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28" w:type="pct"/>
            <w:tcBorders>
              <w:top w:val="nil"/>
              <w:left w:val="nil"/>
              <w:bottom w:val="nil"/>
              <w:right w:val="nil"/>
            </w:tcBorders>
            <w:shd w:val="clear" w:color="auto" w:fill="auto"/>
            <w:noWrap/>
            <w:hideMark/>
          </w:tcPr>
          <w:p w:rsidR="007F1447" w:rsidRPr="00680A96" w:rsidRDefault="007F1447" w:rsidP="008817BA">
            <w:pPr>
              <w:tabs>
                <w:tab w:val="clear" w:pos="284"/>
              </w:tabs>
              <w:rPr>
                <w:rFonts w:ascii="Arial" w:hAnsi="Arial" w:cs="Arial"/>
                <w:color w:val="000000"/>
                <w:sz w:val="20"/>
              </w:rPr>
            </w:pPr>
          </w:p>
        </w:tc>
        <w:tc>
          <w:tcPr>
            <w:tcW w:w="428" w:type="pct"/>
            <w:tcBorders>
              <w:top w:val="nil"/>
              <w:left w:val="nil"/>
              <w:bottom w:val="nil"/>
              <w:right w:val="nil"/>
            </w:tcBorders>
            <w:shd w:val="clear" w:color="auto" w:fill="auto"/>
            <w:noWrap/>
            <w:hideMark/>
          </w:tcPr>
          <w:p w:rsidR="007F1447" w:rsidRPr="00680A96" w:rsidRDefault="007F1447" w:rsidP="008817BA">
            <w:pPr>
              <w:tabs>
                <w:tab w:val="clear" w:pos="284"/>
              </w:tabs>
              <w:rPr>
                <w:sz w:val="20"/>
              </w:rPr>
            </w:pPr>
          </w:p>
        </w:tc>
        <w:tc>
          <w:tcPr>
            <w:tcW w:w="527" w:type="pct"/>
            <w:tcBorders>
              <w:top w:val="nil"/>
              <w:left w:val="nil"/>
              <w:bottom w:val="nil"/>
              <w:right w:val="nil"/>
            </w:tcBorders>
            <w:shd w:val="clear" w:color="auto" w:fill="auto"/>
            <w:noWrap/>
            <w:hideMark/>
          </w:tcPr>
          <w:p w:rsidR="007F1447" w:rsidRPr="00680A96" w:rsidRDefault="007F1447" w:rsidP="008817BA">
            <w:pPr>
              <w:tabs>
                <w:tab w:val="clear" w:pos="284"/>
              </w:tabs>
              <w:rPr>
                <w:sz w:val="20"/>
              </w:rPr>
            </w:pPr>
          </w:p>
        </w:tc>
        <w:tc>
          <w:tcPr>
            <w:tcW w:w="475" w:type="pct"/>
            <w:tcBorders>
              <w:top w:val="nil"/>
              <w:left w:val="nil"/>
              <w:bottom w:val="nil"/>
              <w:right w:val="nil"/>
            </w:tcBorders>
            <w:shd w:val="clear" w:color="auto" w:fill="auto"/>
            <w:noWrap/>
            <w:hideMark/>
          </w:tcPr>
          <w:p w:rsidR="007F1447" w:rsidRPr="00680A96" w:rsidRDefault="007F1447" w:rsidP="008817BA">
            <w:pPr>
              <w:tabs>
                <w:tab w:val="clear" w:pos="284"/>
              </w:tabs>
              <w:rPr>
                <w:sz w:val="20"/>
              </w:rPr>
            </w:pPr>
          </w:p>
        </w:tc>
        <w:tc>
          <w:tcPr>
            <w:tcW w:w="428" w:type="pct"/>
            <w:tcBorders>
              <w:top w:val="nil"/>
              <w:left w:val="nil"/>
              <w:bottom w:val="nil"/>
              <w:right w:val="nil"/>
            </w:tcBorders>
            <w:shd w:val="clear" w:color="auto" w:fill="auto"/>
            <w:noWrap/>
            <w:hideMark/>
          </w:tcPr>
          <w:p w:rsidR="007F1447" w:rsidRPr="00680A96" w:rsidRDefault="007F1447" w:rsidP="008817BA">
            <w:pPr>
              <w:tabs>
                <w:tab w:val="clear" w:pos="284"/>
              </w:tabs>
              <w:rPr>
                <w:sz w:val="20"/>
              </w:rPr>
            </w:pPr>
          </w:p>
        </w:tc>
        <w:tc>
          <w:tcPr>
            <w:tcW w:w="410" w:type="pct"/>
            <w:tcBorders>
              <w:top w:val="nil"/>
              <w:left w:val="nil"/>
              <w:bottom w:val="nil"/>
              <w:right w:val="nil"/>
            </w:tcBorders>
            <w:shd w:val="clear" w:color="auto" w:fill="auto"/>
            <w:noWrap/>
            <w:hideMark/>
          </w:tcPr>
          <w:p w:rsidR="007F1447" w:rsidRPr="00680A96" w:rsidRDefault="007F1447" w:rsidP="008817BA">
            <w:pPr>
              <w:tabs>
                <w:tab w:val="clear" w:pos="284"/>
              </w:tabs>
              <w:rPr>
                <w:sz w:val="20"/>
              </w:rPr>
            </w:pPr>
          </w:p>
        </w:tc>
        <w:tc>
          <w:tcPr>
            <w:tcW w:w="428" w:type="pct"/>
            <w:tcBorders>
              <w:top w:val="nil"/>
              <w:left w:val="single" w:sz="4" w:space="0" w:color="auto"/>
              <w:bottom w:val="nil"/>
              <w:right w:val="single" w:sz="4" w:space="0" w:color="auto"/>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680A96" w:rsidTr="008817BA">
        <w:trPr>
          <w:trHeight w:val="255"/>
        </w:trPr>
        <w:tc>
          <w:tcPr>
            <w:tcW w:w="472" w:type="pct"/>
            <w:tcBorders>
              <w:top w:val="nil"/>
              <w:left w:val="single" w:sz="4" w:space="0" w:color="auto"/>
              <w:bottom w:val="nil"/>
              <w:right w:val="nil"/>
            </w:tcBorders>
            <w:shd w:val="clear" w:color="auto" w:fill="auto"/>
            <w:noWrap/>
            <w:hideMark/>
          </w:tcPr>
          <w:p w:rsidR="007F1447" w:rsidRPr="00680A9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55</w:t>
            </w:r>
          </w:p>
        </w:tc>
        <w:tc>
          <w:tcPr>
            <w:tcW w:w="1404" w:type="pct"/>
            <w:tcBorders>
              <w:top w:val="nil"/>
              <w:left w:val="single" w:sz="4" w:space="0" w:color="auto"/>
              <w:bottom w:val="nil"/>
              <w:right w:val="single" w:sz="4" w:space="0" w:color="auto"/>
            </w:tcBorders>
            <w:shd w:val="clear" w:color="auto" w:fill="auto"/>
            <w:noWrap/>
            <w:hideMark/>
          </w:tcPr>
          <w:p w:rsidR="007F1447" w:rsidRPr="00680A96"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BIBLIOTEKSVÆSEN</w:t>
            </w:r>
          </w:p>
        </w:tc>
        <w:tc>
          <w:tcPr>
            <w:tcW w:w="428" w:type="pct"/>
            <w:tcBorders>
              <w:top w:val="nil"/>
              <w:left w:val="nil"/>
              <w:bottom w:val="nil"/>
              <w:right w:val="nil"/>
            </w:tcBorders>
            <w:shd w:val="clear" w:color="auto" w:fill="auto"/>
            <w:noWrap/>
            <w:hideMark/>
          </w:tcPr>
          <w:p w:rsidR="007F1447" w:rsidRPr="00680A96" w:rsidRDefault="007F1447" w:rsidP="008817BA">
            <w:pPr>
              <w:tabs>
                <w:tab w:val="clear" w:pos="284"/>
              </w:tabs>
              <w:rPr>
                <w:rFonts w:ascii="Arial Narrow" w:hAnsi="Arial Narrow" w:cs="Arial"/>
                <w:b/>
                <w:bCs/>
                <w:color w:val="000000"/>
                <w:sz w:val="20"/>
              </w:rPr>
            </w:pPr>
          </w:p>
        </w:tc>
        <w:tc>
          <w:tcPr>
            <w:tcW w:w="428" w:type="pct"/>
            <w:tcBorders>
              <w:top w:val="nil"/>
              <w:left w:val="nil"/>
              <w:bottom w:val="nil"/>
              <w:right w:val="nil"/>
            </w:tcBorders>
            <w:shd w:val="clear" w:color="auto" w:fill="auto"/>
            <w:noWrap/>
            <w:hideMark/>
          </w:tcPr>
          <w:p w:rsidR="007F1447" w:rsidRPr="00680A96" w:rsidRDefault="007F1447" w:rsidP="008817BA">
            <w:pPr>
              <w:tabs>
                <w:tab w:val="clear" w:pos="284"/>
              </w:tabs>
              <w:rPr>
                <w:sz w:val="20"/>
              </w:rPr>
            </w:pPr>
          </w:p>
        </w:tc>
        <w:tc>
          <w:tcPr>
            <w:tcW w:w="527" w:type="pct"/>
            <w:tcBorders>
              <w:top w:val="nil"/>
              <w:left w:val="nil"/>
              <w:bottom w:val="nil"/>
              <w:right w:val="nil"/>
            </w:tcBorders>
            <w:shd w:val="clear" w:color="auto" w:fill="auto"/>
            <w:noWrap/>
            <w:hideMark/>
          </w:tcPr>
          <w:p w:rsidR="007F1447" w:rsidRPr="00680A96" w:rsidRDefault="007F1447" w:rsidP="008817BA">
            <w:pPr>
              <w:tabs>
                <w:tab w:val="clear" w:pos="284"/>
              </w:tabs>
              <w:rPr>
                <w:sz w:val="20"/>
              </w:rPr>
            </w:pPr>
          </w:p>
        </w:tc>
        <w:tc>
          <w:tcPr>
            <w:tcW w:w="475" w:type="pct"/>
            <w:tcBorders>
              <w:top w:val="nil"/>
              <w:left w:val="nil"/>
              <w:bottom w:val="nil"/>
              <w:right w:val="nil"/>
            </w:tcBorders>
            <w:shd w:val="clear" w:color="auto" w:fill="auto"/>
            <w:noWrap/>
            <w:hideMark/>
          </w:tcPr>
          <w:p w:rsidR="007F1447" w:rsidRPr="00680A96" w:rsidRDefault="007F1447" w:rsidP="008817BA">
            <w:pPr>
              <w:tabs>
                <w:tab w:val="clear" w:pos="284"/>
              </w:tabs>
              <w:rPr>
                <w:sz w:val="20"/>
              </w:rPr>
            </w:pPr>
          </w:p>
        </w:tc>
        <w:tc>
          <w:tcPr>
            <w:tcW w:w="428" w:type="pct"/>
            <w:tcBorders>
              <w:top w:val="nil"/>
              <w:left w:val="nil"/>
              <w:bottom w:val="nil"/>
              <w:right w:val="nil"/>
            </w:tcBorders>
            <w:shd w:val="clear" w:color="auto" w:fill="auto"/>
            <w:noWrap/>
            <w:hideMark/>
          </w:tcPr>
          <w:p w:rsidR="007F1447" w:rsidRPr="00680A96" w:rsidRDefault="007F1447" w:rsidP="008817BA">
            <w:pPr>
              <w:tabs>
                <w:tab w:val="clear" w:pos="284"/>
              </w:tabs>
              <w:rPr>
                <w:sz w:val="20"/>
              </w:rPr>
            </w:pPr>
          </w:p>
        </w:tc>
        <w:tc>
          <w:tcPr>
            <w:tcW w:w="410" w:type="pct"/>
            <w:tcBorders>
              <w:top w:val="nil"/>
              <w:left w:val="nil"/>
              <w:bottom w:val="nil"/>
              <w:right w:val="nil"/>
            </w:tcBorders>
            <w:shd w:val="clear" w:color="auto" w:fill="auto"/>
            <w:noWrap/>
            <w:hideMark/>
          </w:tcPr>
          <w:p w:rsidR="007F1447" w:rsidRPr="00680A96" w:rsidRDefault="007F1447" w:rsidP="008817BA">
            <w:pPr>
              <w:tabs>
                <w:tab w:val="clear" w:pos="284"/>
              </w:tabs>
              <w:rPr>
                <w:sz w:val="20"/>
              </w:rPr>
            </w:pPr>
          </w:p>
        </w:tc>
        <w:tc>
          <w:tcPr>
            <w:tcW w:w="428" w:type="pct"/>
            <w:tcBorders>
              <w:top w:val="nil"/>
              <w:left w:val="single" w:sz="4" w:space="0" w:color="auto"/>
              <w:bottom w:val="nil"/>
              <w:right w:val="single" w:sz="4" w:space="0" w:color="auto"/>
            </w:tcBorders>
            <w:shd w:val="clear" w:color="auto" w:fill="auto"/>
            <w:noWrap/>
            <w:hideMark/>
          </w:tcPr>
          <w:p w:rsidR="007F1447" w:rsidRPr="00680A96"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 </w:t>
            </w:r>
          </w:p>
        </w:tc>
      </w:tr>
      <w:tr w:rsidR="007F1447" w:rsidRPr="00680A96" w:rsidTr="008817BA">
        <w:trPr>
          <w:trHeight w:val="255"/>
        </w:trPr>
        <w:tc>
          <w:tcPr>
            <w:tcW w:w="472" w:type="pct"/>
            <w:tcBorders>
              <w:top w:val="nil"/>
              <w:left w:val="single" w:sz="4" w:space="0" w:color="auto"/>
              <w:bottom w:val="nil"/>
              <w:right w:val="nil"/>
            </w:tcBorders>
            <w:shd w:val="clear" w:color="auto" w:fill="auto"/>
            <w:noWrap/>
            <w:hideMark/>
          </w:tcPr>
          <w:p w:rsidR="007F1447" w:rsidRPr="00680A96"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55-02</w:t>
            </w:r>
          </w:p>
        </w:tc>
        <w:tc>
          <w:tcPr>
            <w:tcW w:w="1404" w:type="pct"/>
            <w:tcBorders>
              <w:top w:val="nil"/>
              <w:left w:val="single" w:sz="4" w:space="0" w:color="auto"/>
              <w:bottom w:val="nil"/>
              <w:right w:val="single" w:sz="4" w:space="0" w:color="auto"/>
            </w:tcBorders>
            <w:shd w:val="clear" w:color="auto" w:fill="auto"/>
            <w:hideMark/>
          </w:tcPr>
          <w:p w:rsidR="007F1447" w:rsidRPr="00680A96" w:rsidRDefault="007F1447" w:rsidP="008817BA">
            <w:pPr>
              <w:tabs>
                <w:tab w:val="clear" w:pos="284"/>
              </w:tabs>
              <w:rPr>
                <w:rFonts w:ascii="Arial Narrow" w:hAnsi="Arial Narrow" w:cs="Arial"/>
                <w:color w:val="000000"/>
                <w:sz w:val="20"/>
              </w:rPr>
            </w:pPr>
            <w:r>
              <w:rPr>
                <w:rFonts w:ascii="Arial Narrow" w:hAnsi="Arial Narrow" w:cs="Arial"/>
                <w:color w:val="000000"/>
                <w:sz w:val="20"/>
              </w:rPr>
              <w:t xml:space="preserve">Den kommunale bibliotek </w:t>
            </w:r>
          </w:p>
        </w:tc>
        <w:tc>
          <w:tcPr>
            <w:tcW w:w="428" w:type="pct"/>
            <w:tcBorders>
              <w:top w:val="nil"/>
              <w:left w:val="nil"/>
              <w:bottom w:val="nil"/>
              <w:right w:val="nil"/>
            </w:tcBorders>
            <w:shd w:val="clear" w:color="auto" w:fill="auto"/>
            <w:noWrap/>
            <w:hideMark/>
          </w:tcPr>
          <w:p w:rsidR="007F1447" w:rsidRPr="00680A9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949</w:t>
            </w:r>
          </w:p>
        </w:tc>
        <w:tc>
          <w:tcPr>
            <w:tcW w:w="428" w:type="pct"/>
            <w:tcBorders>
              <w:top w:val="nil"/>
              <w:left w:val="nil"/>
              <w:bottom w:val="nil"/>
              <w:right w:val="nil"/>
            </w:tcBorders>
            <w:shd w:val="clear" w:color="auto" w:fill="auto"/>
            <w:noWrap/>
            <w:hideMark/>
          </w:tcPr>
          <w:p w:rsidR="007F1447" w:rsidRPr="00680A9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527" w:type="pct"/>
            <w:tcBorders>
              <w:top w:val="nil"/>
              <w:left w:val="nil"/>
              <w:bottom w:val="nil"/>
              <w:right w:val="nil"/>
            </w:tcBorders>
            <w:shd w:val="clear" w:color="auto" w:fill="auto"/>
            <w:noWrap/>
            <w:hideMark/>
          </w:tcPr>
          <w:p w:rsidR="007F1447" w:rsidRPr="00680A9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75" w:type="pct"/>
            <w:tcBorders>
              <w:top w:val="nil"/>
              <w:left w:val="nil"/>
              <w:bottom w:val="nil"/>
              <w:right w:val="nil"/>
            </w:tcBorders>
            <w:shd w:val="clear" w:color="auto" w:fill="auto"/>
            <w:noWrap/>
            <w:hideMark/>
          </w:tcPr>
          <w:p w:rsidR="007F1447" w:rsidRPr="00680A9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949</w:t>
            </w:r>
          </w:p>
        </w:tc>
        <w:tc>
          <w:tcPr>
            <w:tcW w:w="428" w:type="pct"/>
            <w:tcBorders>
              <w:top w:val="nil"/>
              <w:left w:val="nil"/>
              <w:bottom w:val="nil"/>
              <w:right w:val="nil"/>
            </w:tcBorders>
            <w:shd w:val="clear" w:color="auto" w:fill="auto"/>
            <w:noWrap/>
            <w:hideMark/>
          </w:tcPr>
          <w:p w:rsidR="007F1447" w:rsidRPr="00680A9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622</w:t>
            </w:r>
          </w:p>
        </w:tc>
        <w:tc>
          <w:tcPr>
            <w:tcW w:w="410" w:type="pct"/>
            <w:tcBorders>
              <w:top w:val="nil"/>
              <w:left w:val="nil"/>
              <w:bottom w:val="nil"/>
              <w:right w:val="nil"/>
            </w:tcBorders>
            <w:shd w:val="clear" w:color="auto" w:fill="auto"/>
            <w:noWrap/>
            <w:hideMark/>
          </w:tcPr>
          <w:p w:rsidR="007F1447" w:rsidRPr="00680A9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327</w:t>
            </w:r>
          </w:p>
        </w:tc>
        <w:tc>
          <w:tcPr>
            <w:tcW w:w="428" w:type="pct"/>
            <w:tcBorders>
              <w:top w:val="nil"/>
              <w:left w:val="single" w:sz="4" w:space="0" w:color="auto"/>
              <w:bottom w:val="nil"/>
              <w:right w:val="single" w:sz="4" w:space="0" w:color="auto"/>
            </w:tcBorders>
            <w:shd w:val="clear" w:color="auto" w:fill="auto"/>
            <w:noWrap/>
            <w:hideMark/>
          </w:tcPr>
          <w:p w:rsidR="007F1447" w:rsidRPr="00680A96"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65,6</w:t>
            </w:r>
          </w:p>
        </w:tc>
      </w:tr>
      <w:tr w:rsidR="007F1447" w:rsidRPr="00680A96" w:rsidTr="008817BA">
        <w:trPr>
          <w:trHeight w:val="255"/>
        </w:trPr>
        <w:tc>
          <w:tcPr>
            <w:tcW w:w="472" w:type="pct"/>
            <w:tcBorders>
              <w:top w:val="nil"/>
              <w:left w:val="single" w:sz="4" w:space="0" w:color="auto"/>
              <w:bottom w:val="nil"/>
              <w:right w:val="nil"/>
            </w:tcBorders>
            <w:shd w:val="clear" w:color="auto" w:fill="auto"/>
            <w:noWrap/>
            <w:hideMark/>
          </w:tcPr>
          <w:p w:rsidR="007F1447" w:rsidRPr="00680A96" w:rsidRDefault="007F1447" w:rsidP="008817BA">
            <w:pPr>
              <w:tabs>
                <w:tab w:val="clear" w:pos="284"/>
              </w:tabs>
              <w:jc w:val="center"/>
              <w:rPr>
                <w:rFonts w:ascii="Arial" w:hAnsi="Arial" w:cs="Arial"/>
                <w:color w:val="000000"/>
                <w:sz w:val="20"/>
              </w:rPr>
            </w:pPr>
            <w:r>
              <w:rPr>
                <w:rFonts w:ascii="Arial" w:hAnsi="Arial" w:cs="Arial"/>
                <w:color w:val="000000"/>
                <w:sz w:val="20"/>
              </w:rPr>
              <w:t> </w:t>
            </w:r>
          </w:p>
        </w:tc>
        <w:tc>
          <w:tcPr>
            <w:tcW w:w="1404" w:type="pct"/>
            <w:tcBorders>
              <w:top w:val="nil"/>
              <w:left w:val="single" w:sz="4" w:space="0" w:color="auto"/>
              <w:bottom w:val="nil"/>
              <w:right w:val="single" w:sz="4" w:space="0" w:color="auto"/>
            </w:tcBorders>
            <w:shd w:val="clear" w:color="auto" w:fill="auto"/>
            <w:hideMark/>
          </w:tcPr>
          <w:p w:rsidR="007F1447" w:rsidRPr="00680A96" w:rsidRDefault="007F1447" w:rsidP="008817BA">
            <w:pPr>
              <w:tabs>
                <w:tab w:val="clear" w:pos="284"/>
              </w:tabs>
              <w:rPr>
                <w:rFonts w:ascii="Arial Narrow" w:hAnsi="Arial Narrow" w:cs="Arial"/>
                <w:color w:val="000000"/>
                <w:sz w:val="20"/>
              </w:rPr>
            </w:pPr>
            <w:r>
              <w:rPr>
                <w:rFonts w:ascii="Arial Narrow" w:hAnsi="Arial Narrow" w:cs="Arial"/>
                <w:color w:val="000000"/>
                <w:sz w:val="20"/>
              </w:rPr>
              <w:t>BIBLIOTEKSVÆSEN</w:t>
            </w:r>
          </w:p>
        </w:tc>
        <w:tc>
          <w:tcPr>
            <w:tcW w:w="428" w:type="pct"/>
            <w:tcBorders>
              <w:top w:val="nil"/>
              <w:left w:val="nil"/>
              <w:bottom w:val="nil"/>
              <w:right w:val="nil"/>
            </w:tcBorders>
            <w:shd w:val="clear" w:color="auto" w:fill="auto"/>
            <w:noWrap/>
            <w:hideMark/>
          </w:tcPr>
          <w:p w:rsidR="007F1447" w:rsidRPr="00680A96" w:rsidRDefault="007F1447" w:rsidP="008817BA">
            <w:pPr>
              <w:tabs>
                <w:tab w:val="clear" w:pos="284"/>
              </w:tabs>
              <w:rPr>
                <w:rFonts w:ascii="Arial Narrow" w:hAnsi="Arial Narrow" w:cs="Arial"/>
                <w:color w:val="000000"/>
                <w:sz w:val="20"/>
              </w:rPr>
            </w:pPr>
          </w:p>
        </w:tc>
        <w:tc>
          <w:tcPr>
            <w:tcW w:w="428" w:type="pct"/>
            <w:tcBorders>
              <w:top w:val="nil"/>
              <w:left w:val="nil"/>
              <w:bottom w:val="nil"/>
              <w:right w:val="nil"/>
            </w:tcBorders>
            <w:shd w:val="clear" w:color="auto" w:fill="auto"/>
            <w:noWrap/>
            <w:hideMark/>
          </w:tcPr>
          <w:p w:rsidR="007F1447" w:rsidRPr="00680A96" w:rsidRDefault="007F1447" w:rsidP="008817BA">
            <w:pPr>
              <w:tabs>
                <w:tab w:val="clear" w:pos="284"/>
              </w:tabs>
              <w:rPr>
                <w:sz w:val="20"/>
              </w:rPr>
            </w:pPr>
          </w:p>
        </w:tc>
        <w:tc>
          <w:tcPr>
            <w:tcW w:w="527" w:type="pct"/>
            <w:tcBorders>
              <w:top w:val="nil"/>
              <w:left w:val="nil"/>
              <w:bottom w:val="nil"/>
              <w:right w:val="nil"/>
            </w:tcBorders>
            <w:shd w:val="clear" w:color="auto" w:fill="auto"/>
            <w:noWrap/>
            <w:hideMark/>
          </w:tcPr>
          <w:p w:rsidR="007F1447" w:rsidRPr="00680A96" w:rsidRDefault="007F1447" w:rsidP="008817BA">
            <w:pPr>
              <w:tabs>
                <w:tab w:val="clear" w:pos="284"/>
              </w:tabs>
              <w:rPr>
                <w:sz w:val="20"/>
              </w:rPr>
            </w:pPr>
          </w:p>
        </w:tc>
        <w:tc>
          <w:tcPr>
            <w:tcW w:w="475" w:type="pct"/>
            <w:tcBorders>
              <w:top w:val="nil"/>
              <w:left w:val="nil"/>
              <w:bottom w:val="nil"/>
              <w:right w:val="nil"/>
            </w:tcBorders>
            <w:shd w:val="clear" w:color="auto" w:fill="auto"/>
            <w:noWrap/>
            <w:hideMark/>
          </w:tcPr>
          <w:p w:rsidR="007F1447" w:rsidRPr="00680A96" w:rsidRDefault="007F1447" w:rsidP="008817BA">
            <w:pPr>
              <w:tabs>
                <w:tab w:val="clear" w:pos="284"/>
              </w:tabs>
              <w:rPr>
                <w:sz w:val="20"/>
              </w:rPr>
            </w:pPr>
          </w:p>
        </w:tc>
        <w:tc>
          <w:tcPr>
            <w:tcW w:w="428" w:type="pct"/>
            <w:tcBorders>
              <w:top w:val="nil"/>
              <w:left w:val="nil"/>
              <w:bottom w:val="nil"/>
              <w:right w:val="nil"/>
            </w:tcBorders>
            <w:shd w:val="clear" w:color="auto" w:fill="auto"/>
            <w:noWrap/>
            <w:hideMark/>
          </w:tcPr>
          <w:p w:rsidR="007F1447" w:rsidRPr="00680A96" w:rsidRDefault="007F1447" w:rsidP="008817BA">
            <w:pPr>
              <w:tabs>
                <w:tab w:val="clear" w:pos="284"/>
              </w:tabs>
              <w:rPr>
                <w:sz w:val="20"/>
              </w:rPr>
            </w:pPr>
          </w:p>
        </w:tc>
        <w:tc>
          <w:tcPr>
            <w:tcW w:w="410" w:type="pct"/>
            <w:tcBorders>
              <w:top w:val="nil"/>
              <w:left w:val="nil"/>
              <w:bottom w:val="nil"/>
              <w:right w:val="nil"/>
            </w:tcBorders>
            <w:shd w:val="clear" w:color="auto" w:fill="auto"/>
            <w:noWrap/>
            <w:hideMark/>
          </w:tcPr>
          <w:p w:rsidR="007F1447" w:rsidRPr="00680A96" w:rsidRDefault="007F1447" w:rsidP="008817BA">
            <w:pPr>
              <w:tabs>
                <w:tab w:val="clear" w:pos="284"/>
              </w:tabs>
              <w:rPr>
                <w:sz w:val="20"/>
              </w:rPr>
            </w:pPr>
          </w:p>
        </w:tc>
        <w:tc>
          <w:tcPr>
            <w:tcW w:w="428" w:type="pct"/>
            <w:tcBorders>
              <w:top w:val="nil"/>
              <w:left w:val="single" w:sz="4" w:space="0" w:color="auto"/>
              <w:bottom w:val="nil"/>
              <w:right w:val="single" w:sz="4" w:space="0" w:color="auto"/>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680A96" w:rsidTr="008817BA">
        <w:trPr>
          <w:trHeight w:val="255"/>
        </w:trPr>
        <w:tc>
          <w:tcPr>
            <w:tcW w:w="472" w:type="pct"/>
            <w:tcBorders>
              <w:top w:val="single" w:sz="4" w:space="0" w:color="auto"/>
              <w:left w:val="single" w:sz="4" w:space="0" w:color="auto"/>
              <w:bottom w:val="nil"/>
              <w:right w:val="nil"/>
            </w:tcBorders>
            <w:shd w:val="clear" w:color="auto" w:fill="auto"/>
            <w:noWrap/>
            <w:hideMark/>
          </w:tcPr>
          <w:p w:rsidR="007F1447" w:rsidRPr="00680A96" w:rsidRDefault="007F1447" w:rsidP="008817BA">
            <w:pPr>
              <w:tabs>
                <w:tab w:val="clear" w:pos="284"/>
              </w:tabs>
              <w:jc w:val="center"/>
              <w:rPr>
                <w:rFonts w:ascii="Arial" w:hAnsi="Arial" w:cs="Arial"/>
                <w:color w:val="000000"/>
                <w:sz w:val="20"/>
              </w:rPr>
            </w:pPr>
            <w:r>
              <w:rPr>
                <w:rFonts w:ascii="Arial" w:hAnsi="Arial" w:cs="Arial"/>
                <w:color w:val="000000"/>
                <w:sz w:val="20"/>
              </w:rPr>
              <w:t> </w:t>
            </w:r>
          </w:p>
        </w:tc>
        <w:tc>
          <w:tcPr>
            <w:tcW w:w="1404" w:type="pct"/>
            <w:tcBorders>
              <w:top w:val="single" w:sz="4" w:space="0" w:color="auto"/>
              <w:left w:val="single" w:sz="4" w:space="0" w:color="auto"/>
              <w:bottom w:val="nil"/>
              <w:right w:val="single" w:sz="4" w:space="0" w:color="auto"/>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28" w:type="pct"/>
            <w:tcBorders>
              <w:top w:val="single" w:sz="4" w:space="0" w:color="auto"/>
              <w:left w:val="nil"/>
              <w:bottom w:val="nil"/>
              <w:right w:val="nil"/>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28" w:type="pct"/>
            <w:tcBorders>
              <w:top w:val="single" w:sz="4" w:space="0" w:color="auto"/>
              <w:left w:val="nil"/>
              <w:bottom w:val="nil"/>
              <w:right w:val="nil"/>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527" w:type="pct"/>
            <w:tcBorders>
              <w:top w:val="single" w:sz="4" w:space="0" w:color="auto"/>
              <w:left w:val="nil"/>
              <w:bottom w:val="nil"/>
              <w:right w:val="nil"/>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75" w:type="pct"/>
            <w:tcBorders>
              <w:top w:val="single" w:sz="4" w:space="0" w:color="auto"/>
              <w:left w:val="nil"/>
              <w:bottom w:val="nil"/>
              <w:right w:val="nil"/>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28" w:type="pct"/>
            <w:tcBorders>
              <w:top w:val="single" w:sz="4" w:space="0" w:color="auto"/>
              <w:left w:val="nil"/>
              <w:bottom w:val="nil"/>
              <w:right w:val="nil"/>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10" w:type="pct"/>
            <w:tcBorders>
              <w:top w:val="single" w:sz="4" w:space="0" w:color="auto"/>
              <w:left w:val="nil"/>
              <w:bottom w:val="nil"/>
              <w:right w:val="nil"/>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28" w:type="pct"/>
            <w:tcBorders>
              <w:top w:val="single" w:sz="4" w:space="0" w:color="auto"/>
              <w:left w:val="single" w:sz="4" w:space="0" w:color="auto"/>
              <w:bottom w:val="nil"/>
              <w:right w:val="single" w:sz="4" w:space="0" w:color="auto"/>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680A96" w:rsidTr="008817BA">
        <w:trPr>
          <w:trHeight w:val="255"/>
        </w:trPr>
        <w:tc>
          <w:tcPr>
            <w:tcW w:w="472" w:type="pct"/>
            <w:tcBorders>
              <w:top w:val="nil"/>
              <w:left w:val="single" w:sz="4" w:space="0" w:color="auto"/>
              <w:bottom w:val="nil"/>
              <w:right w:val="nil"/>
            </w:tcBorders>
            <w:shd w:val="clear" w:color="auto" w:fill="auto"/>
            <w:noWrap/>
            <w:hideMark/>
          </w:tcPr>
          <w:p w:rsidR="007F1447" w:rsidRPr="00680A96"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55</w:t>
            </w:r>
          </w:p>
        </w:tc>
        <w:tc>
          <w:tcPr>
            <w:tcW w:w="1404" w:type="pct"/>
            <w:tcBorders>
              <w:top w:val="nil"/>
              <w:left w:val="single" w:sz="4" w:space="0" w:color="auto"/>
              <w:bottom w:val="nil"/>
              <w:right w:val="single" w:sz="4" w:space="0" w:color="auto"/>
            </w:tcBorders>
            <w:shd w:val="clear" w:color="auto" w:fill="auto"/>
            <w:noWrap/>
            <w:hideMark/>
          </w:tcPr>
          <w:p w:rsidR="007F1447" w:rsidRPr="00680A96"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BIBLIOTEKSVÆSEN</w:t>
            </w:r>
          </w:p>
        </w:tc>
        <w:tc>
          <w:tcPr>
            <w:tcW w:w="428" w:type="pct"/>
            <w:tcBorders>
              <w:top w:val="nil"/>
              <w:left w:val="nil"/>
              <w:bottom w:val="nil"/>
              <w:right w:val="nil"/>
            </w:tcBorders>
            <w:shd w:val="clear" w:color="auto" w:fill="auto"/>
            <w:noWrap/>
            <w:hideMark/>
          </w:tcPr>
          <w:p w:rsidR="007F1447" w:rsidRPr="00680A96"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949</w:t>
            </w:r>
          </w:p>
        </w:tc>
        <w:tc>
          <w:tcPr>
            <w:tcW w:w="428" w:type="pct"/>
            <w:tcBorders>
              <w:top w:val="nil"/>
              <w:left w:val="nil"/>
              <w:bottom w:val="nil"/>
              <w:right w:val="nil"/>
            </w:tcBorders>
            <w:shd w:val="clear" w:color="auto" w:fill="auto"/>
            <w:noWrap/>
            <w:hideMark/>
          </w:tcPr>
          <w:p w:rsidR="007F1447" w:rsidRPr="00680A96"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0</w:t>
            </w:r>
          </w:p>
        </w:tc>
        <w:tc>
          <w:tcPr>
            <w:tcW w:w="527" w:type="pct"/>
            <w:tcBorders>
              <w:top w:val="nil"/>
              <w:left w:val="nil"/>
              <w:bottom w:val="nil"/>
              <w:right w:val="nil"/>
            </w:tcBorders>
            <w:shd w:val="clear" w:color="auto" w:fill="auto"/>
            <w:noWrap/>
            <w:hideMark/>
          </w:tcPr>
          <w:p w:rsidR="007F1447" w:rsidRPr="00680A96"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0</w:t>
            </w:r>
          </w:p>
        </w:tc>
        <w:tc>
          <w:tcPr>
            <w:tcW w:w="475" w:type="pct"/>
            <w:tcBorders>
              <w:top w:val="nil"/>
              <w:left w:val="nil"/>
              <w:bottom w:val="nil"/>
              <w:right w:val="nil"/>
            </w:tcBorders>
            <w:shd w:val="clear" w:color="auto" w:fill="auto"/>
            <w:noWrap/>
            <w:hideMark/>
          </w:tcPr>
          <w:p w:rsidR="007F1447" w:rsidRPr="00680A96"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949</w:t>
            </w:r>
          </w:p>
        </w:tc>
        <w:tc>
          <w:tcPr>
            <w:tcW w:w="428" w:type="pct"/>
            <w:tcBorders>
              <w:top w:val="nil"/>
              <w:left w:val="nil"/>
              <w:bottom w:val="nil"/>
              <w:right w:val="nil"/>
            </w:tcBorders>
            <w:shd w:val="clear" w:color="auto" w:fill="auto"/>
            <w:noWrap/>
            <w:hideMark/>
          </w:tcPr>
          <w:p w:rsidR="007F1447" w:rsidRPr="00680A96"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622</w:t>
            </w:r>
          </w:p>
        </w:tc>
        <w:tc>
          <w:tcPr>
            <w:tcW w:w="410" w:type="pct"/>
            <w:tcBorders>
              <w:top w:val="nil"/>
              <w:left w:val="nil"/>
              <w:bottom w:val="nil"/>
              <w:right w:val="nil"/>
            </w:tcBorders>
            <w:shd w:val="clear" w:color="auto" w:fill="auto"/>
            <w:noWrap/>
            <w:hideMark/>
          </w:tcPr>
          <w:p w:rsidR="007F1447" w:rsidRPr="00680A96"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327</w:t>
            </w:r>
          </w:p>
        </w:tc>
        <w:tc>
          <w:tcPr>
            <w:tcW w:w="428" w:type="pct"/>
            <w:tcBorders>
              <w:top w:val="nil"/>
              <w:left w:val="single" w:sz="4" w:space="0" w:color="auto"/>
              <w:bottom w:val="nil"/>
              <w:right w:val="single" w:sz="4" w:space="0" w:color="auto"/>
            </w:tcBorders>
            <w:shd w:val="clear" w:color="auto" w:fill="auto"/>
            <w:noWrap/>
            <w:hideMark/>
          </w:tcPr>
          <w:p w:rsidR="007F1447" w:rsidRPr="00680A96"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65,6</w:t>
            </w:r>
          </w:p>
        </w:tc>
      </w:tr>
      <w:tr w:rsidR="007F1447" w:rsidRPr="00680A96" w:rsidTr="008817BA">
        <w:trPr>
          <w:trHeight w:val="255"/>
        </w:trPr>
        <w:tc>
          <w:tcPr>
            <w:tcW w:w="472" w:type="pct"/>
            <w:tcBorders>
              <w:top w:val="nil"/>
              <w:left w:val="single" w:sz="4" w:space="0" w:color="auto"/>
              <w:bottom w:val="single" w:sz="4" w:space="0" w:color="auto"/>
              <w:right w:val="nil"/>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1404" w:type="pct"/>
            <w:tcBorders>
              <w:top w:val="nil"/>
              <w:left w:val="single" w:sz="4" w:space="0" w:color="auto"/>
              <w:bottom w:val="single" w:sz="4" w:space="0" w:color="auto"/>
              <w:right w:val="single" w:sz="4" w:space="0" w:color="auto"/>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28" w:type="pct"/>
            <w:tcBorders>
              <w:top w:val="nil"/>
              <w:left w:val="nil"/>
              <w:bottom w:val="single" w:sz="4" w:space="0" w:color="auto"/>
              <w:right w:val="nil"/>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28" w:type="pct"/>
            <w:tcBorders>
              <w:top w:val="nil"/>
              <w:left w:val="nil"/>
              <w:bottom w:val="single" w:sz="4" w:space="0" w:color="auto"/>
              <w:right w:val="nil"/>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527" w:type="pct"/>
            <w:tcBorders>
              <w:top w:val="nil"/>
              <w:left w:val="nil"/>
              <w:bottom w:val="single" w:sz="4" w:space="0" w:color="auto"/>
              <w:right w:val="nil"/>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75" w:type="pct"/>
            <w:tcBorders>
              <w:top w:val="nil"/>
              <w:left w:val="nil"/>
              <w:bottom w:val="single" w:sz="4" w:space="0" w:color="auto"/>
              <w:right w:val="nil"/>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28" w:type="pct"/>
            <w:tcBorders>
              <w:top w:val="nil"/>
              <w:left w:val="nil"/>
              <w:bottom w:val="single" w:sz="4" w:space="0" w:color="auto"/>
              <w:right w:val="nil"/>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10" w:type="pct"/>
            <w:tcBorders>
              <w:top w:val="nil"/>
              <w:left w:val="nil"/>
              <w:bottom w:val="single" w:sz="4" w:space="0" w:color="auto"/>
              <w:right w:val="nil"/>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28" w:type="pct"/>
            <w:tcBorders>
              <w:top w:val="nil"/>
              <w:left w:val="single" w:sz="4" w:space="0" w:color="auto"/>
              <w:bottom w:val="single" w:sz="4" w:space="0" w:color="auto"/>
              <w:right w:val="single" w:sz="4" w:space="0" w:color="auto"/>
            </w:tcBorders>
            <w:shd w:val="clear" w:color="auto" w:fill="auto"/>
            <w:noWrap/>
            <w:hideMark/>
          </w:tcPr>
          <w:p w:rsidR="007F1447" w:rsidRPr="00680A96" w:rsidRDefault="007F1447" w:rsidP="008817BA">
            <w:pPr>
              <w:tabs>
                <w:tab w:val="clear" w:pos="284"/>
              </w:tabs>
              <w:rPr>
                <w:rFonts w:ascii="Arial" w:hAnsi="Arial" w:cs="Arial"/>
                <w:color w:val="000000"/>
                <w:sz w:val="20"/>
              </w:rPr>
            </w:pPr>
            <w:r>
              <w:rPr>
                <w:rFonts w:ascii="Arial" w:hAnsi="Arial" w:cs="Arial"/>
                <w:color w:val="000000"/>
                <w:sz w:val="20"/>
              </w:rPr>
              <w:t> </w:t>
            </w:r>
          </w:p>
        </w:tc>
      </w:tr>
    </w:tbl>
    <w:p w:rsidR="007F1447" w:rsidRPr="00490CE0" w:rsidRDefault="007F1447" w:rsidP="007F1447">
      <w:pPr>
        <w:tabs>
          <w:tab w:val="clear" w:pos="284"/>
        </w:tabs>
        <w:rPr>
          <w:b/>
          <w:lang w:val="kl-GL"/>
        </w:rPr>
      </w:pPr>
    </w:p>
    <w:p w:rsidR="007F1447" w:rsidRPr="003C258E" w:rsidRDefault="007F1447" w:rsidP="007F1447">
      <w:pPr>
        <w:tabs>
          <w:tab w:val="clear" w:pos="284"/>
        </w:tabs>
        <w:rPr>
          <w:b/>
          <w:lang w:val="kl-GL"/>
        </w:rPr>
      </w:pPr>
      <w:r>
        <w:rPr>
          <w:b/>
        </w:rPr>
        <w:t>Biblioteksvæsen: Forbruget på konto 55 ligger på 65,6 %.</w:t>
      </w:r>
    </w:p>
    <w:p w:rsidR="007F1447" w:rsidRPr="00490CE0" w:rsidRDefault="007F1447" w:rsidP="007F1447">
      <w:pPr>
        <w:rPr>
          <w:lang w:val="kl-GL"/>
        </w:rPr>
      </w:pPr>
      <w:r>
        <w:t>55-02-20 Forbruget for biblioteket i Maniitsoq ligger på 66,8 %.</w:t>
      </w:r>
    </w:p>
    <w:p w:rsidR="007F1447" w:rsidRPr="00490CE0" w:rsidRDefault="007F1447" w:rsidP="007F1447">
      <w:pPr>
        <w:rPr>
          <w:lang w:val="kl-GL"/>
        </w:rPr>
      </w:pPr>
      <w:r>
        <w:t xml:space="preserve">55-02-60 Forbruget i </w:t>
      </w:r>
      <w:proofErr w:type="spellStart"/>
      <w:r>
        <w:t>Kangaamiut</w:t>
      </w:r>
      <w:proofErr w:type="spellEnd"/>
      <w:r>
        <w:t xml:space="preserve"> ligger på 21,5 %.</w:t>
      </w:r>
    </w:p>
    <w:p w:rsidR="007F1447" w:rsidRPr="00490CE0" w:rsidRDefault="007F1447" w:rsidP="007F1447">
      <w:pPr>
        <w:rPr>
          <w:lang w:val="kl-GL"/>
        </w:rPr>
      </w:pPr>
      <w:r>
        <w:t xml:space="preserve">55-02-70 Forbruget i </w:t>
      </w:r>
      <w:proofErr w:type="spellStart"/>
      <w:r>
        <w:t>Napasoq</w:t>
      </w:r>
      <w:proofErr w:type="spellEnd"/>
      <w:r>
        <w:t xml:space="preserve"> ligger på 0,0 %, midlertidigt lukket, da der er ingen der låner bøger.</w:t>
      </w:r>
    </w:p>
    <w:p w:rsidR="007F1447" w:rsidRPr="00490CE0" w:rsidRDefault="007F1447" w:rsidP="007F1447">
      <w:pPr>
        <w:rPr>
          <w:lang w:val="kl-GL"/>
        </w:rPr>
      </w:pPr>
      <w:r>
        <w:t xml:space="preserve">55-02-80 Forbruget i </w:t>
      </w:r>
      <w:proofErr w:type="spellStart"/>
      <w:r>
        <w:t>Atammik</w:t>
      </w:r>
      <w:proofErr w:type="spellEnd"/>
      <w:r>
        <w:t xml:space="preserve"> ligger på 126,6 %, der er merforbrug, da man har lavet oprydning blandt bøgerne.</w:t>
      </w:r>
    </w:p>
    <w:p w:rsidR="007F1447" w:rsidRPr="00490CE0" w:rsidRDefault="007F1447" w:rsidP="007F1447">
      <w:pPr>
        <w:rPr>
          <w:lang w:val="kl-GL"/>
        </w:rPr>
      </w:pPr>
    </w:p>
    <w:p w:rsidR="007F1447" w:rsidRPr="00490CE0" w:rsidRDefault="007F1447" w:rsidP="007F1447">
      <w:pPr>
        <w:tabs>
          <w:tab w:val="clear" w:pos="284"/>
        </w:tabs>
        <w:rPr>
          <w:lang w:val="kl-GL"/>
        </w:rPr>
      </w:pPr>
    </w:p>
    <w:p w:rsidR="007F1447" w:rsidRDefault="007F1447">
      <w:pPr>
        <w:tabs>
          <w:tab w:val="clear" w:pos="284"/>
        </w:tabs>
        <w:spacing w:after="160" w:line="259" w:lineRule="auto"/>
        <w:rPr>
          <w:b/>
        </w:rPr>
      </w:pPr>
      <w:r>
        <w:rPr>
          <w:b/>
        </w:rPr>
        <w:br w:type="page"/>
      </w:r>
    </w:p>
    <w:p w:rsidR="007F1447" w:rsidRPr="00490CE0" w:rsidRDefault="007F1447" w:rsidP="007F1447">
      <w:pPr>
        <w:tabs>
          <w:tab w:val="clear" w:pos="284"/>
        </w:tabs>
        <w:rPr>
          <w:b/>
          <w:lang w:val="kl-GL"/>
        </w:rPr>
      </w:pPr>
      <w:r>
        <w:rPr>
          <w:b/>
        </w:rPr>
        <w:lastRenderedPageBreak/>
        <w:t xml:space="preserve">Konto 56 Museum </w:t>
      </w:r>
      <w:r>
        <w:t>Maniitsoq + Bygder.</w:t>
      </w:r>
    </w:p>
    <w:tbl>
      <w:tblPr>
        <w:tblW w:w="5000" w:type="pct"/>
        <w:tblCellMar>
          <w:left w:w="70" w:type="dxa"/>
          <w:right w:w="70" w:type="dxa"/>
        </w:tblCellMar>
        <w:tblLook w:val="04A0" w:firstRow="1" w:lastRow="0" w:firstColumn="1" w:lastColumn="0" w:noHBand="0" w:noVBand="1"/>
      </w:tblPr>
      <w:tblGrid>
        <w:gridCol w:w="885"/>
        <w:gridCol w:w="2885"/>
        <w:gridCol w:w="803"/>
        <w:gridCol w:w="803"/>
        <w:gridCol w:w="988"/>
        <w:gridCol w:w="890"/>
        <w:gridCol w:w="803"/>
        <w:gridCol w:w="770"/>
        <w:gridCol w:w="801"/>
      </w:tblGrid>
      <w:tr w:rsidR="007F1447" w:rsidRPr="003C258E" w:rsidTr="008817BA">
        <w:trPr>
          <w:trHeight w:val="255"/>
        </w:trPr>
        <w:tc>
          <w:tcPr>
            <w:tcW w:w="460" w:type="pct"/>
            <w:tcBorders>
              <w:top w:val="single" w:sz="4" w:space="0" w:color="auto"/>
              <w:left w:val="single" w:sz="4" w:space="0" w:color="auto"/>
              <w:bottom w:val="nil"/>
              <w:right w:val="nil"/>
            </w:tcBorders>
            <w:shd w:val="clear" w:color="000000" w:fill="D9D9D9"/>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1498" w:type="pct"/>
            <w:tcBorders>
              <w:top w:val="single" w:sz="4" w:space="0" w:color="auto"/>
              <w:left w:val="single" w:sz="4" w:space="0" w:color="auto"/>
              <w:bottom w:val="nil"/>
              <w:right w:val="single" w:sz="4" w:space="0" w:color="auto"/>
            </w:tcBorders>
            <w:shd w:val="clear" w:color="000000" w:fill="D9D9D9"/>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17" w:type="pct"/>
            <w:tcBorders>
              <w:top w:val="single" w:sz="4" w:space="0" w:color="auto"/>
              <w:left w:val="nil"/>
              <w:bottom w:val="nil"/>
              <w:right w:val="nil"/>
            </w:tcBorders>
            <w:shd w:val="clear" w:color="000000" w:fill="D9D9D9"/>
            <w:noWrap/>
            <w:hideMark/>
          </w:tcPr>
          <w:p w:rsidR="007F1447" w:rsidRPr="003C258E"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Budget</w:t>
            </w:r>
          </w:p>
        </w:tc>
        <w:tc>
          <w:tcPr>
            <w:tcW w:w="417" w:type="pct"/>
            <w:tcBorders>
              <w:top w:val="single" w:sz="4" w:space="0" w:color="auto"/>
              <w:left w:val="nil"/>
              <w:bottom w:val="nil"/>
              <w:right w:val="nil"/>
            </w:tcBorders>
            <w:shd w:val="clear" w:color="000000" w:fill="D9D9D9"/>
            <w:noWrap/>
            <w:hideMark/>
          </w:tcPr>
          <w:p w:rsidR="007F1447" w:rsidRPr="003C258E"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Tillæg</w:t>
            </w:r>
          </w:p>
        </w:tc>
        <w:tc>
          <w:tcPr>
            <w:tcW w:w="513" w:type="pct"/>
            <w:tcBorders>
              <w:top w:val="single" w:sz="4" w:space="0" w:color="auto"/>
              <w:left w:val="nil"/>
              <w:bottom w:val="nil"/>
              <w:right w:val="nil"/>
            </w:tcBorders>
            <w:shd w:val="clear" w:color="000000" w:fill="D9D9D9"/>
            <w:noWrap/>
            <w:hideMark/>
          </w:tcPr>
          <w:p w:rsidR="007F1447" w:rsidRPr="003C258E" w:rsidRDefault="007F1447" w:rsidP="008817BA">
            <w:pPr>
              <w:tabs>
                <w:tab w:val="clear" w:pos="284"/>
              </w:tabs>
              <w:jc w:val="center"/>
              <w:rPr>
                <w:rFonts w:ascii="Arial Narrow" w:hAnsi="Arial Narrow" w:cs="Arial"/>
                <w:b/>
                <w:bCs/>
                <w:color w:val="000000"/>
                <w:sz w:val="20"/>
              </w:rPr>
            </w:pPr>
            <w:proofErr w:type="spellStart"/>
            <w:r>
              <w:rPr>
                <w:rFonts w:ascii="Arial Narrow" w:hAnsi="Arial Narrow" w:cs="Arial"/>
                <w:b/>
                <w:bCs/>
                <w:color w:val="000000"/>
                <w:sz w:val="20"/>
              </w:rPr>
              <w:t>Omplac</w:t>
            </w:r>
            <w:proofErr w:type="spellEnd"/>
            <w:r>
              <w:rPr>
                <w:rFonts w:ascii="Arial Narrow" w:hAnsi="Arial Narrow" w:cs="Arial"/>
                <w:b/>
                <w:bCs/>
                <w:color w:val="000000"/>
                <w:sz w:val="20"/>
              </w:rPr>
              <w:t>.</w:t>
            </w:r>
          </w:p>
        </w:tc>
        <w:tc>
          <w:tcPr>
            <w:tcW w:w="462" w:type="pct"/>
            <w:tcBorders>
              <w:top w:val="single" w:sz="4" w:space="0" w:color="auto"/>
              <w:left w:val="nil"/>
              <w:bottom w:val="nil"/>
              <w:right w:val="nil"/>
            </w:tcBorders>
            <w:shd w:val="clear" w:color="000000" w:fill="D9D9D9"/>
            <w:noWrap/>
            <w:hideMark/>
          </w:tcPr>
          <w:p w:rsidR="007F1447" w:rsidRPr="003C258E"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Bevilling</w:t>
            </w:r>
          </w:p>
        </w:tc>
        <w:tc>
          <w:tcPr>
            <w:tcW w:w="417" w:type="pct"/>
            <w:tcBorders>
              <w:top w:val="single" w:sz="4" w:space="0" w:color="auto"/>
              <w:left w:val="nil"/>
              <w:bottom w:val="nil"/>
              <w:right w:val="nil"/>
            </w:tcBorders>
            <w:shd w:val="clear" w:color="000000" w:fill="D9D9D9"/>
            <w:noWrap/>
            <w:hideMark/>
          </w:tcPr>
          <w:p w:rsidR="007F1447" w:rsidRPr="003C258E"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Forbrug</w:t>
            </w:r>
          </w:p>
        </w:tc>
        <w:tc>
          <w:tcPr>
            <w:tcW w:w="400" w:type="pct"/>
            <w:tcBorders>
              <w:top w:val="single" w:sz="4" w:space="0" w:color="auto"/>
              <w:left w:val="nil"/>
              <w:bottom w:val="nil"/>
              <w:right w:val="nil"/>
            </w:tcBorders>
            <w:shd w:val="clear" w:color="000000" w:fill="D9D9D9"/>
            <w:noWrap/>
            <w:hideMark/>
          </w:tcPr>
          <w:p w:rsidR="007F1447" w:rsidRPr="003C258E"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Rest</w:t>
            </w:r>
          </w:p>
        </w:tc>
        <w:tc>
          <w:tcPr>
            <w:tcW w:w="417" w:type="pct"/>
            <w:tcBorders>
              <w:top w:val="single" w:sz="4" w:space="0" w:color="auto"/>
              <w:left w:val="single" w:sz="4" w:space="0" w:color="auto"/>
              <w:bottom w:val="nil"/>
              <w:right w:val="single" w:sz="4" w:space="0" w:color="auto"/>
            </w:tcBorders>
            <w:shd w:val="clear" w:color="000000" w:fill="D9D9D9"/>
            <w:noWrap/>
            <w:hideMark/>
          </w:tcPr>
          <w:p w:rsidR="007F1447" w:rsidRPr="003C258E"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Forbrug</w:t>
            </w:r>
          </w:p>
        </w:tc>
      </w:tr>
      <w:tr w:rsidR="007F1447" w:rsidRPr="003C258E" w:rsidTr="008817BA">
        <w:trPr>
          <w:trHeight w:val="270"/>
        </w:trPr>
        <w:tc>
          <w:tcPr>
            <w:tcW w:w="460" w:type="pct"/>
            <w:tcBorders>
              <w:top w:val="nil"/>
              <w:left w:val="single" w:sz="4" w:space="0" w:color="auto"/>
              <w:bottom w:val="single" w:sz="4" w:space="0" w:color="auto"/>
              <w:right w:val="nil"/>
            </w:tcBorders>
            <w:shd w:val="clear" w:color="000000" w:fill="D9D9D9"/>
            <w:noWrap/>
            <w:hideMark/>
          </w:tcPr>
          <w:p w:rsidR="007F1447" w:rsidRPr="003C258E" w:rsidRDefault="007F1447" w:rsidP="008817BA">
            <w:pPr>
              <w:tabs>
                <w:tab w:val="clear" w:pos="284"/>
              </w:tabs>
              <w:rPr>
                <w:rFonts w:ascii="Arial" w:hAnsi="Arial" w:cs="Arial"/>
                <w:b/>
                <w:bCs/>
                <w:color w:val="000000"/>
                <w:sz w:val="20"/>
              </w:rPr>
            </w:pPr>
            <w:r>
              <w:rPr>
                <w:rFonts w:ascii="Arial" w:hAnsi="Arial" w:cs="Arial"/>
                <w:b/>
                <w:bCs/>
                <w:color w:val="000000"/>
                <w:sz w:val="20"/>
              </w:rPr>
              <w:t>Konto</w:t>
            </w:r>
          </w:p>
        </w:tc>
        <w:tc>
          <w:tcPr>
            <w:tcW w:w="1498" w:type="pct"/>
            <w:tcBorders>
              <w:top w:val="nil"/>
              <w:left w:val="single" w:sz="4" w:space="0" w:color="auto"/>
              <w:bottom w:val="single" w:sz="4" w:space="0" w:color="auto"/>
              <w:right w:val="single" w:sz="4" w:space="0" w:color="auto"/>
            </w:tcBorders>
            <w:shd w:val="clear" w:color="000000" w:fill="D9D9D9"/>
            <w:noWrap/>
            <w:hideMark/>
          </w:tcPr>
          <w:p w:rsidR="007F1447" w:rsidRPr="003C258E" w:rsidRDefault="007F1447" w:rsidP="008817BA">
            <w:pPr>
              <w:tabs>
                <w:tab w:val="clear" w:pos="284"/>
              </w:tabs>
              <w:rPr>
                <w:rFonts w:ascii="Arial" w:hAnsi="Arial" w:cs="Arial"/>
                <w:b/>
                <w:bCs/>
                <w:color w:val="000000"/>
                <w:sz w:val="20"/>
              </w:rPr>
            </w:pPr>
            <w:r>
              <w:rPr>
                <w:rFonts w:ascii="Arial" w:hAnsi="Arial" w:cs="Arial"/>
                <w:b/>
                <w:bCs/>
                <w:color w:val="000000"/>
                <w:sz w:val="20"/>
              </w:rPr>
              <w:t>Kontonavn</w:t>
            </w:r>
          </w:p>
        </w:tc>
        <w:tc>
          <w:tcPr>
            <w:tcW w:w="417" w:type="pct"/>
            <w:tcBorders>
              <w:top w:val="nil"/>
              <w:left w:val="nil"/>
              <w:bottom w:val="single" w:sz="4" w:space="0" w:color="auto"/>
              <w:right w:val="nil"/>
            </w:tcBorders>
            <w:shd w:val="clear" w:color="000000" w:fill="D9D9D9"/>
            <w:hideMark/>
          </w:tcPr>
          <w:p w:rsidR="007F1447" w:rsidRPr="003C258E"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17" w:type="pct"/>
            <w:tcBorders>
              <w:top w:val="nil"/>
              <w:left w:val="nil"/>
              <w:bottom w:val="single" w:sz="4" w:space="0" w:color="auto"/>
              <w:right w:val="nil"/>
            </w:tcBorders>
            <w:shd w:val="clear" w:color="000000" w:fill="D9D9D9"/>
            <w:hideMark/>
          </w:tcPr>
          <w:p w:rsidR="007F1447" w:rsidRPr="003C258E"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513" w:type="pct"/>
            <w:tcBorders>
              <w:top w:val="nil"/>
              <w:left w:val="nil"/>
              <w:bottom w:val="single" w:sz="4" w:space="0" w:color="auto"/>
              <w:right w:val="nil"/>
            </w:tcBorders>
            <w:shd w:val="clear" w:color="000000" w:fill="D9D9D9"/>
            <w:hideMark/>
          </w:tcPr>
          <w:p w:rsidR="007F1447" w:rsidRPr="003C258E"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62" w:type="pct"/>
            <w:tcBorders>
              <w:top w:val="nil"/>
              <w:left w:val="nil"/>
              <w:bottom w:val="single" w:sz="4" w:space="0" w:color="auto"/>
              <w:right w:val="nil"/>
            </w:tcBorders>
            <w:shd w:val="clear" w:color="000000" w:fill="D9D9D9"/>
            <w:hideMark/>
          </w:tcPr>
          <w:p w:rsidR="007F1447" w:rsidRPr="003C258E"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17" w:type="pct"/>
            <w:tcBorders>
              <w:top w:val="nil"/>
              <w:left w:val="nil"/>
              <w:bottom w:val="single" w:sz="4" w:space="0" w:color="auto"/>
              <w:right w:val="nil"/>
            </w:tcBorders>
            <w:shd w:val="clear" w:color="000000" w:fill="D9D9D9"/>
            <w:hideMark/>
          </w:tcPr>
          <w:p w:rsidR="007F1447" w:rsidRPr="003C258E"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00" w:type="pct"/>
            <w:tcBorders>
              <w:top w:val="nil"/>
              <w:left w:val="nil"/>
              <w:bottom w:val="single" w:sz="4" w:space="0" w:color="auto"/>
              <w:right w:val="nil"/>
            </w:tcBorders>
            <w:shd w:val="clear" w:color="000000" w:fill="D9D9D9"/>
            <w:hideMark/>
          </w:tcPr>
          <w:p w:rsidR="007F1447" w:rsidRPr="003C258E"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17" w:type="pct"/>
            <w:tcBorders>
              <w:top w:val="nil"/>
              <w:left w:val="single" w:sz="4" w:space="0" w:color="auto"/>
              <w:bottom w:val="single" w:sz="4" w:space="0" w:color="auto"/>
              <w:right w:val="single" w:sz="4" w:space="0" w:color="auto"/>
            </w:tcBorders>
            <w:shd w:val="clear" w:color="000000" w:fill="D9D9D9"/>
            <w:noWrap/>
            <w:hideMark/>
          </w:tcPr>
          <w:p w:rsidR="007F1447" w:rsidRPr="003C258E"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i %</w:t>
            </w:r>
          </w:p>
        </w:tc>
      </w:tr>
      <w:tr w:rsidR="007F1447" w:rsidRPr="003C258E" w:rsidTr="008817BA">
        <w:trPr>
          <w:trHeight w:val="255"/>
        </w:trPr>
        <w:tc>
          <w:tcPr>
            <w:tcW w:w="460" w:type="pct"/>
            <w:tcBorders>
              <w:top w:val="nil"/>
              <w:left w:val="single" w:sz="4" w:space="0" w:color="auto"/>
              <w:bottom w:val="nil"/>
              <w:right w:val="nil"/>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1498" w:type="pct"/>
            <w:tcBorders>
              <w:top w:val="nil"/>
              <w:left w:val="single" w:sz="4" w:space="0" w:color="auto"/>
              <w:bottom w:val="nil"/>
              <w:right w:val="single" w:sz="4" w:space="0" w:color="auto"/>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17" w:type="pct"/>
            <w:tcBorders>
              <w:top w:val="nil"/>
              <w:left w:val="nil"/>
              <w:bottom w:val="nil"/>
              <w:right w:val="nil"/>
            </w:tcBorders>
            <w:shd w:val="clear" w:color="auto" w:fill="auto"/>
            <w:noWrap/>
            <w:hideMark/>
          </w:tcPr>
          <w:p w:rsidR="007F1447" w:rsidRPr="003C258E" w:rsidRDefault="007F1447" w:rsidP="008817BA">
            <w:pPr>
              <w:tabs>
                <w:tab w:val="clear" w:pos="284"/>
              </w:tabs>
              <w:rPr>
                <w:rFonts w:ascii="Arial" w:hAnsi="Arial" w:cs="Arial"/>
                <w:color w:val="000000"/>
                <w:sz w:val="20"/>
              </w:rPr>
            </w:pPr>
          </w:p>
        </w:tc>
        <w:tc>
          <w:tcPr>
            <w:tcW w:w="417" w:type="pct"/>
            <w:tcBorders>
              <w:top w:val="nil"/>
              <w:left w:val="nil"/>
              <w:bottom w:val="nil"/>
              <w:right w:val="nil"/>
            </w:tcBorders>
            <w:shd w:val="clear" w:color="auto" w:fill="auto"/>
            <w:noWrap/>
            <w:hideMark/>
          </w:tcPr>
          <w:p w:rsidR="007F1447" w:rsidRPr="003C258E" w:rsidRDefault="007F1447" w:rsidP="008817BA">
            <w:pPr>
              <w:tabs>
                <w:tab w:val="clear" w:pos="284"/>
              </w:tabs>
              <w:rPr>
                <w:sz w:val="20"/>
              </w:rPr>
            </w:pPr>
          </w:p>
        </w:tc>
        <w:tc>
          <w:tcPr>
            <w:tcW w:w="513" w:type="pct"/>
            <w:tcBorders>
              <w:top w:val="nil"/>
              <w:left w:val="nil"/>
              <w:bottom w:val="nil"/>
              <w:right w:val="nil"/>
            </w:tcBorders>
            <w:shd w:val="clear" w:color="auto" w:fill="auto"/>
            <w:noWrap/>
            <w:hideMark/>
          </w:tcPr>
          <w:p w:rsidR="007F1447" w:rsidRPr="003C258E" w:rsidRDefault="007F1447" w:rsidP="008817BA">
            <w:pPr>
              <w:tabs>
                <w:tab w:val="clear" w:pos="284"/>
              </w:tabs>
              <w:rPr>
                <w:sz w:val="20"/>
              </w:rPr>
            </w:pPr>
          </w:p>
        </w:tc>
        <w:tc>
          <w:tcPr>
            <w:tcW w:w="462" w:type="pct"/>
            <w:tcBorders>
              <w:top w:val="nil"/>
              <w:left w:val="nil"/>
              <w:bottom w:val="nil"/>
              <w:right w:val="nil"/>
            </w:tcBorders>
            <w:shd w:val="clear" w:color="auto" w:fill="auto"/>
            <w:noWrap/>
            <w:hideMark/>
          </w:tcPr>
          <w:p w:rsidR="007F1447" w:rsidRPr="003C258E" w:rsidRDefault="007F1447" w:rsidP="008817BA">
            <w:pPr>
              <w:tabs>
                <w:tab w:val="clear" w:pos="284"/>
              </w:tabs>
              <w:rPr>
                <w:sz w:val="20"/>
              </w:rPr>
            </w:pPr>
          </w:p>
        </w:tc>
        <w:tc>
          <w:tcPr>
            <w:tcW w:w="417" w:type="pct"/>
            <w:tcBorders>
              <w:top w:val="nil"/>
              <w:left w:val="nil"/>
              <w:bottom w:val="nil"/>
              <w:right w:val="nil"/>
            </w:tcBorders>
            <w:shd w:val="clear" w:color="auto" w:fill="auto"/>
            <w:noWrap/>
            <w:hideMark/>
          </w:tcPr>
          <w:p w:rsidR="007F1447" w:rsidRPr="003C258E" w:rsidRDefault="007F1447" w:rsidP="008817BA">
            <w:pPr>
              <w:tabs>
                <w:tab w:val="clear" w:pos="284"/>
              </w:tabs>
              <w:rPr>
                <w:sz w:val="20"/>
              </w:rPr>
            </w:pPr>
          </w:p>
        </w:tc>
        <w:tc>
          <w:tcPr>
            <w:tcW w:w="400" w:type="pct"/>
            <w:tcBorders>
              <w:top w:val="nil"/>
              <w:left w:val="nil"/>
              <w:bottom w:val="nil"/>
              <w:right w:val="nil"/>
            </w:tcBorders>
            <w:shd w:val="clear" w:color="auto" w:fill="auto"/>
            <w:noWrap/>
            <w:hideMark/>
          </w:tcPr>
          <w:p w:rsidR="007F1447" w:rsidRPr="003C258E" w:rsidRDefault="007F1447" w:rsidP="008817BA">
            <w:pPr>
              <w:tabs>
                <w:tab w:val="clear" w:pos="284"/>
              </w:tabs>
              <w:rPr>
                <w:sz w:val="20"/>
              </w:rPr>
            </w:pPr>
          </w:p>
        </w:tc>
        <w:tc>
          <w:tcPr>
            <w:tcW w:w="417" w:type="pct"/>
            <w:tcBorders>
              <w:top w:val="nil"/>
              <w:left w:val="single" w:sz="4" w:space="0" w:color="auto"/>
              <w:bottom w:val="nil"/>
              <w:right w:val="single" w:sz="4" w:space="0" w:color="auto"/>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3C258E" w:rsidTr="008817BA">
        <w:trPr>
          <w:trHeight w:val="330"/>
        </w:trPr>
        <w:tc>
          <w:tcPr>
            <w:tcW w:w="460" w:type="pct"/>
            <w:tcBorders>
              <w:top w:val="nil"/>
              <w:left w:val="single" w:sz="4" w:space="0" w:color="auto"/>
              <w:bottom w:val="nil"/>
              <w:right w:val="nil"/>
            </w:tcBorders>
            <w:shd w:val="clear" w:color="auto" w:fill="auto"/>
            <w:noWrap/>
            <w:hideMark/>
          </w:tcPr>
          <w:p w:rsidR="007F1447" w:rsidRPr="003C258E" w:rsidRDefault="007F1447" w:rsidP="008817BA">
            <w:pPr>
              <w:tabs>
                <w:tab w:val="clear" w:pos="284"/>
              </w:tabs>
              <w:jc w:val="center"/>
              <w:rPr>
                <w:rFonts w:ascii="Arial Narrow" w:hAnsi="Arial Narrow" w:cs="Arial"/>
                <w:b/>
                <w:bCs/>
                <w:color w:val="000000"/>
                <w:sz w:val="22"/>
                <w:szCs w:val="22"/>
              </w:rPr>
            </w:pPr>
            <w:r>
              <w:rPr>
                <w:rFonts w:ascii="Arial Narrow" w:hAnsi="Arial Narrow" w:cs="Arial"/>
                <w:b/>
                <w:bCs/>
                <w:color w:val="000000"/>
                <w:sz w:val="22"/>
                <w:szCs w:val="22"/>
              </w:rPr>
              <w:t>56</w:t>
            </w:r>
          </w:p>
        </w:tc>
        <w:tc>
          <w:tcPr>
            <w:tcW w:w="1498" w:type="pct"/>
            <w:tcBorders>
              <w:top w:val="nil"/>
              <w:left w:val="single" w:sz="4" w:space="0" w:color="auto"/>
              <w:bottom w:val="nil"/>
              <w:right w:val="single" w:sz="4" w:space="0" w:color="auto"/>
            </w:tcBorders>
            <w:shd w:val="clear" w:color="auto" w:fill="auto"/>
            <w:noWrap/>
            <w:hideMark/>
          </w:tcPr>
          <w:p w:rsidR="007F1447" w:rsidRPr="003C258E" w:rsidRDefault="007F1447" w:rsidP="008817BA">
            <w:pPr>
              <w:tabs>
                <w:tab w:val="clear" w:pos="284"/>
              </w:tabs>
              <w:rPr>
                <w:rFonts w:ascii="Arial Narrow" w:hAnsi="Arial Narrow" w:cs="Arial"/>
                <w:b/>
                <w:bCs/>
                <w:color w:val="000000"/>
                <w:sz w:val="22"/>
                <w:szCs w:val="22"/>
              </w:rPr>
            </w:pPr>
            <w:r>
              <w:rPr>
                <w:rFonts w:ascii="Arial Narrow" w:hAnsi="Arial Narrow" w:cs="Arial"/>
                <w:b/>
                <w:bCs/>
                <w:color w:val="000000"/>
                <w:sz w:val="22"/>
                <w:szCs w:val="22"/>
              </w:rPr>
              <w:t>MUSEUMSVÆSENET</w:t>
            </w:r>
          </w:p>
        </w:tc>
        <w:tc>
          <w:tcPr>
            <w:tcW w:w="417" w:type="pct"/>
            <w:tcBorders>
              <w:top w:val="nil"/>
              <w:left w:val="nil"/>
              <w:bottom w:val="nil"/>
              <w:right w:val="nil"/>
            </w:tcBorders>
            <w:shd w:val="clear" w:color="auto" w:fill="auto"/>
            <w:noWrap/>
            <w:hideMark/>
          </w:tcPr>
          <w:p w:rsidR="007F1447" w:rsidRPr="003C258E" w:rsidRDefault="007F1447" w:rsidP="008817BA">
            <w:pPr>
              <w:tabs>
                <w:tab w:val="clear" w:pos="284"/>
              </w:tabs>
              <w:rPr>
                <w:rFonts w:ascii="Arial Narrow" w:hAnsi="Arial Narrow" w:cs="Arial"/>
                <w:b/>
                <w:bCs/>
                <w:color w:val="000000"/>
                <w:sz w:val="22"/>
                <w:szCs w:val="22"/>
              </w:rPr>
            </w:pPr>
          </w:p>
        </w:tc>
        <w:tc>
          <w:tcPr>
            <w:tcW w:w="417" w:type="pct"/>
            <w:tcBorders>
              <w:top w:val="nil"/>
              <w:left w:val="nil"/>
              <w:bottom w:val="nil"/>
              <w:right w:val="nil"/>
            </w:tcBorders>
            <w:shd w:val="clear" w:color="auto" w:fill="auto"/>
            <w:noWrap/>
            <w:hideMark/>
          </w:tcPr>
          <w:p w:rsidR="007F1447" w:rsidRPr="003C258E" w:rsidRDefault="007F1447" w:rsidP="008817BA">
            <w:pPr>
              <w:tabs>
                <w:tab w:val="clear" w:pos="284"/>
              </w:tabs>
              <w:rPr>
                <w:sz w:val="20"/>
              </w:rPr>
            </w:pPr>
          </w:p>
        </w:tc>
        <w:tc>
          <w:tcPr>
            <w:tcW w:w="513" w:type="pct"/>
            <w:tcBorders>
              <w:top w:val="nil"/>
              <w:left w:val="nil"/>
              <w:bottom w:val="nil"/>
              <w:right w:val="nil"/>
            </w:tcBorders>
            <w:shd w:val="clear" w:color="auto" w:fill="auto"/>
            <w:noWrap/>
            <w:hideMark/>
          </w:tcPr>
          <w:p w:rsidR="007F1447" w:rsidRPr="003C258E" w:rsidRDefault="007F1447" w:rsidP="008817BA">
            <w:pPr>
              <w:tabs>
                <w:tab w:val="clear" w:pos="284"/>
              </w:tabs>
              <w:rPr>
                <w:sz w:val="20"/>
              </w:rPr>
            </w:pPr>
          </w:p>
        </w:tc>
        <w:tc>
          <w:tcPr>
            <w:tcW w:w="462" w:type="pct"/>
            <w:tcBorders>
              <w:top w:val="nil"/>
              <w:left w:val="nil"/>
              <w:bottom w:val="nil"/>
              <w:right w:val="nil"/>
            </w:tcBorders>
            <w:shd w:val="clear" w:color="auto" w:fill="auto"/>
            <w:noWrap/>
            <w:hideMark/>
          </w:tcPr>
          <w:p w:rsidR="007F1447" w:rsidRPr="003C258E" w:rsidRDefault="007F1447" w:rsidP="008817BA">
            <w:pPr>
              <w:tabs>
                <w:tab w:val="clear" w:pos="284"/>
              </w:tabs>
              <w:rPr>
                <w:sz w:val="20"/>
              </w:rPr>
            </w:pPr>
          </w:p>
        </w:tc>
        <w:tc>
          <w:tcPr>
            <w:tcW w:w="417" w:type="pct"/>
            <w:tcBorders>
              <w:top w:val="nil"/>
              <w:left w:val="nil"/>
              <w:bottom w:val="nil"/>
              <w:right w:val="nil"/>
            </w:tcBorders>
            <w:shd w:val="clear" w:color="auto" w:fill="auto"/>
            <w:noWrap/>
            <w:hideMark/>
          </w:tcPr>
          <w:p w:rsidR="007F1447" w:rsidRPr="003C258E" w:rsidRDefault="007F1447" w:rsidP="008817BA">
            <w:pPr>
              <w:tabs>
                <w:tab w:val="clear" w:pos="284"/>
              </w:tabs>
              <w:rPr>
                <w:sz w:val="20"/>
              </w:rPr>
            </w:pPr>
          </w:p>
        </w:tc>
        <w:tc>
          <w:tcPr>
            <w:tcW w:w="400" w:type="pct"/>
            <w:tcBorders>
              <w:top w:val="nil"/>
              <w:left w:val="nil"/>
              <w:bottom w:val="nil"/>
              <w:right w:val="nil"/>
            </w:tcBorders>
            <w:shd w:val="clear" w:color="auto" w:fill="auto"/>
            <w:noWrap/>
            <w:hideMark/>
          </w:tcPr>
          <w:p w:rsidR="007F1447" w:rsidRPr="003C258E" w:rsidRDefault="007F1447" w:rsidP="008817BA">
            <w:pPr>
              <w:tabs>
                <w:tab w:val="clear" w:pos="284"/>
              </w:tabs>
              <w:rPr>
                <w:sz w:val="20"/>
              </w:rPr>
            </w:pPr>
          </w:p>
        </w:tc>
        <w:tc>
          <w:tcPr>
            <w:tcW w:w="417" w:type="pct"/>
            <w:tcBorders>
              <w:top w:val="nil"/>
              <w:left w:val="single" w:sz="4" w:space="0" w:color="auto"/>
              <w:bottom w:val="nil"/>
              <w:right w:val="single" w:sz="4" w:space="0" w:color="auto"/>
            </w:tcBorders>
            <w:shd w:val="clear" w:color="auto" w:fill="auto"/>
            <w:noWrap/>
            <w:hideMark/>
          </w:tcPr>
          <w:p w:rsidR="007F1447" w:rsidRPr="003C258E" w:rsidRDefault="007F1447" w:rsidP="008817BA">
            <w:pPr>
              <w:tabs>
                <w:tab w:val="clear" w:pos="284"/>
              </w:tabs>
              <w:rPr>
                <w:rFonts w:ascii="Arial Narrow" w:hAnsi="Arial Narrow" w:cs="Arial"/>
                <w:b/>
                <w:bCs/>
                <w:color w:val="000000"/>
                <w:sz w:val="22"/>
                <w:szCs w:val="22"/>
              </w:rPr>
            </w:pPr>
            <w:r>
              <w:rPr>
                <w:rFonts w:ascii="Arial Narrow" w:hAnsi="Arial Narrow" w:cs="Arial"/>
                <w:b/>
                <w:bCs/>
                <w:color w:val="000000"/>
                <w:sz w:val="22"/>
                <w:szCs w:val="22"/>
              </w:rPr>
              <w:t> </w:t>
            </w:r>
          </w:p>
        </w:tc>
      </w:tr>
      <w:tr w:rsidR="007F1447" w:rsidRPr="003C258E" w:rsidTr="008817BA">
        <w:trPr>
          <w:trHeight w:val="255"/>
        </w:trPr>
        <w:tc>
          <w:tcPr>
            <w:tcW w:w="460" w:type="pct"/>
            <w:tcBorders>
              <w:top w:val="nil"/>
              <w:left w:val="single" w:sz="4" w:space="0" w:color="auto"/>
              <w:bottom w:val="nil"/>
              <w:right w:val="nil"/>
            </w:tcBorders>
            <w:shd w:val="clear" w:color="auto" w:fill="auto"/>
            <w:noWrap/>
            <w:hideMark/>
          </w:tcPr>
          <w:p w:rsidR="007F1447" w:rsidRPr="003C258E"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56-02</w:t>
            </w:r>
          </w:p>
        </w:tc>
        <w:tc>
          <w:tcPr>
            <w:tcW w:w="1498" w:type="pct"/>
            <w:tcBorders>
              <w:top w:val="nil"/>
              <w:left w:val="single" w:sz="4" w:space="0" w:color="auto"/>
              <w:bottom w:val="nil"/>
              <w:right w:val="single" w:sz="4" w:space="0" w:color="auto"/>
            </w:tcBorders>
            <w:shd w:val="clear" w:color="auto" w:fill="auto"/>
            <w:hideMark/>
          </w:tcPr>
          <w:p w:rsidR="007F1447" w:rsidRPr="003C258E" w:rsidRDefault="007F1447" w:rsidP="008817BA">
            <w:pPr>
              <w:tabs>
                <w:tab w:val="clear" w:pos="284"/>
              </w:tabs>
              <w:rPr>
                <w:rFonts w:ascii="Arial Narrow" w:hAnsi="Arial Narrow" w:cs="Arial"/>
                <w:color w:val="000000"/>
                <w:sz w:val="20"/>
              </w:rPr>
            </w:pPr>
            <w:r>
              <w:rPr>
                <w:rFonts w:ascii="Arial Narrow" w:hAnsi="Arial Narrow" w:cs="Arial"/>
                <w:color w:val="000000"/>
                <w:sz w:val="20"/>
              </w:rPr>
              <w:t>KOMMUNALE MUSEER</w:t>
            </w:r>
          </w:p>
        </w:tc>
        <w:tc>
          <w:tcPr>
            <w:tcW w:w="417" w:type="pct"/>
            <w:tcBorders>
              <w:top w:val="nil"/>
              <w:left w:val="nil"/>
              <w:bottom w:val="nil"/>
              <w:right w:val="nil"/>
            </w:tcBorders>
            <w:shd w:val="clear" w:color="auto" w:fill="auto"/>
            <w:noWrap/>
            <w:hideMark/>
          </w:tcPr>
          <w:p w:rsidR="007F1447" w:rsidRPr="003C258E"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1.048</w:t>
            </w:r>
          </w:p>
        </w:tc>
        <w:tc>
          <w:tcPr>
            <w:tcW w:w="417" w:type="pct"/>
            <w:tcBorders>
              <w:top w:val="nil"/>
              <w:left w:val="nil"/>
              <w:bottom w:val="nil"/>
              <w:right w:val="nil"/>
            </w:tcBorders>
            <w:shd w:val="clear" w:color="auto" w:fill="auto"/>
            <w:noWrap/>
            <w:hideMark/>
          </w:tcPr>
          <w:p w:rsidR="007F1447" w:rsidRPr="003C258E"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513" w:type="pct"/>
            <w:tcBorders>
              <w:top w:val="nil"/>
              <w:left w:val="nil"/>
              <w:bottom w:val="nil"/>
              <w:right w:val="nil"/>
            </w:tcBorders>
            <w:shd w:val="clear" w:color="auto" w:fill="auto"/>
            <w:noWrap/>
            <w:hideMark/>
          </w:tcPr>
          <w:p w:rsidR="007F1447" w:rsidRPr="003C258E"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62" w:type="pct"/>
            <w:tcBorders>
              <w:top w:val="nil"/>
              <w:left w:val="nil"/>
              <w:bottom w:val="nil"/>
              <w:right w:val="nil"/>
            </w:tcBorders>
            <w:shd w:val="clear" w:color="auto" w:fill="auto"/>
            <w:noWrap/>
            <w:hideMark/>
          </w:tcPr>
          <w:p w:rsidR="007F1447" w:rsidRPr="003C258E"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1.048</w:t>
            </w:r>
          </w:p>
        </w:tc>
        <w:tc>
          <w:tcPr>
            <w:tcW w:w="417" w:type="pct"/>
            <w:tcBorders>
              <w:top w:val="nil"/>
              <w:left w:val="nil"/>
              <w:bottom w:val="nil"/>
              <w:right w:val="nil"/>
            </w:tcBorders>
            <w:shd w:val="clear" w:color="auto" w:fill="auto"/>
            <w:noWrap/>
            <w:hideMark/>
          </w:tcPr>
          <w:p w:rsidR="007F1447" w:rsidRPr="003C258E"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743</w:t>
            </w:r>
          </w:p>
        </w:tc>
        <w:tc>
          <w:tcPr>
            <w:tcW w:w="400" w:type="pct"/>
            <w:tcBorders>
              <w:top w:val="nil"/>
              <w:left w:val="nil"/>
              <w:bottom w:val="nil"/>
              <w:right w:val="nil"/>
            </w:tcBorders>
            <w:shd w:val="clear" w:color="auto" w:fill="auto"/>
            <w:noWrap/>
            <w:hideMark/>
          </w:tcPr>
          <w:p w:rsidR="007F1447" w:rsidRPr="003C258E"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305</w:t>
            </w:r>
          </w:p>
        </w:tc>
        <w:tc>
          <w:tcPr>
            <w:tcW w:w="417" w:type="pct"/>
            <w:tcBorders>
              <w:top w:val="nil"/>
              <w:left w:val="single" w:sz="4" w:space="0" w:color="auto"/>
              <w:bottom w:val="nil"/>
              <w:right w:val="single" w:sz="4" w:space="0" w:color="auto"/>
            </w:tcBorders>
            <w:shd w:val="clear" w:color="auto" w:fill="auto"/>
            <w:noWrap/>
            <w:hideMark/>
          </w:tcPr>
          <w:p w:rsidR="007F1447" w:rsidRPr="003C258E"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70,9</w:t>
            </w:r>
          </w:p>
        </w:tc>
      </w:tr>
      <w:tr w:rsidR="007F1447" w:rsidRPr="003C258E" w:rsidTr="008817BA">
        <w:trPr>
          <w:trHeight w:val="255"/>
        </w:trPr>
        <w:tc>
          <w:tcPr>
            <w:tcW w:w="460" w:type="pct"/>
            <w:tcBorders>
              <w:top w:val="single" w:sz="4" w:space="0" w:color="auto"/>
              <w:left w:val="single" w:sz="4" w:space="0" w:color="auto"/>
              <w:bottom w:val="nil"/>
              <w:right w:val="nil"/>
            </w:tcBorders>
            <w:shd w:val="clear" w:color="auto" w:fill="auto"/>
            <w:noWrap/>
            <w:hideMark/>
          </w:tcPr>
          <w:p w:rsidR="007F1447" w:rsidRPr="003C258E" w:rsidRDefault="007F1447" w:rsidP="008817BA">
            <w:pPr>
              <w:tabs>
                <w:tab w:val="clear" w:pos="284"/>
              </w:tabs>
              <w:jc w:val="center"/>
              <w:rPr>
                <w:rFonts w:ascii="Arial" w:hAnsi="Arial" w:cs="Arial"/>
                <w:color w:val="000000"/>
                <w:sz w:val="20"/>
              </w:rPr>
            </w:pPr>
            <w:r>
              <w:rPr>
                <w:rFonts w:ascii="Arial" w:hAnsi="Arial" w:cs="Arial"/>
                <w:color w:val="000000"/>
                <w:sz w:val="20"/>
              </w:rPr>
              <w:t> </w:t>
            </w:r>
          </w:p>
        </w:tc>
        <w:tc>
          <w:tcPr>
            <w:tcW w:w="1498" w:type="pct"/>
            <w:tcBorders>
              <w:top w:val="single" w:sz="4" w:space="0" w:color="auto"/>
              <w:left w:val="single" w:sz="4" w:space="0" w:color="auto"/>
              <w:bottom w:val="nil"/>
              <w:right w:val="single" w:sz="4" w:space="0" w:color="auto"/>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17" w:type="pct"/>
            <w:tcBorders>
              <w:top w:val="single" w:sz="4" w:space="0" w:color="auto"/>
              <w:left w:val="nil"/>
              <w:bottom w:val="nil"/>
              <w:right w:val="nil"/>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17" w:type="pct"/>
            <w:tcBorders>
              <w:top w:val="single" w:sz="4" w:space="0" w:color="auto"/>
              <w:left w:val="nil"/>
              <w:bottom w:val="nil"/>
              <w:right w:val="nil"/>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513" w:type="pct"/>
            <w:tcBorders>
              <w:top w:val="single" w:sz="4" w:space="0" w:color="auto"/>
              <w:left w:val="nil"/>
              <w:bottom w:val="nil"/>
              <w:right w:val="nil"/>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62" w:type="pct"/>
            <w:tcBorders>
              <w:top w:val="single" w:sz="4" w:space="0" w:color="auto"/>
              <w:left w:val="nil"/>
              <w:bottom w:val="nil"/>
              <w:right w:val="nil"/>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17" w:type="pct"/>
            <w:tcBorders>
              <w:top w:val="single" w:sz="4" w:space="0" w:color="auto"/>
              <w:left w:val="nil"/>
              <w:bottom w:val="nil"/>
              <w:right w:val="nil"/>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00" w:type="pct"/>
            <w:tcBorders>
              <w:top w:val="single" w:sz="4" w:space="0" w:color="auto"/>
              <w:left w:val="nil"/>
              <w:bottom w:val="nil"/>
              <w:right w:val="nil"/>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17" w:type="pct"/>
            <w:tcBorders>
              <w:top w:val="single" w:sz="4" w:space="0" w:color="auto"/>
              <w:left w:val="single" w:sz="4" w:space="0" w:color="auto"/>
              <w:bottom w:val="nil"/>
              <w:right w:val="single" w:sz="4" w:space="0" w:color="auto"/>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3C258E" w:rsidTr="008817BA">
        <w:trPr>
          <w:trHeight w:val="255"/>
        </w:trPr>
        <w:tc>
          <w:tcPr>
            <w:tcW w:w="460" w:type="pct"/>
            <w:tcBorders>
              <w:top w:val="nil"/>
              <w:left w:val="single" w:sz="4" w:space="0" w:color="auto"/>
              <w:bottom w:val="nil"/>
              <w:right w:val="nil"/>
            </w:tcBorders>
            <w:shd w:val="clear" w:color="auto" w:fill="auto"/>
            <w:noWrap/>
            <w:hideMark/>
          </w:tcPr>
          <w:p w:rsidR="007F1447" w:rsidRPr="003C258E"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56</w:t>
            </w:r>
          </w:p>
        </w:tc>
        <w:tc>
          <w:tcPr>
            <w:tcW w:w="1498" w:type="pct"/>
            <w:tcBorders>
              <w:top w:val="nil"/>
              <w:left w:val="single" w:sz="4" w:space="0" w:color="auto"/>
              <w:bottom w:val="nil"/>
              <w:right w:val="single" w:sz="4" w:space="0" w:color="auto"/>
            </w:tcBorders>
            <w:shd w:val="clear" w:color="auto" w:fill="auto"/>
            <w:noWrap/>
            <w:hideMark/>
          </w:tcPr>
          <w:p w:rsidR="007F1447" w:rsidRPr="003C258E"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MUSEUMSVÆSENET</w:t>
            </w:r>
          </w:p>
        </w:tc>
        <w:tc>
          <w:tcPr>
            <w:tcW w:w="417" w:type="pct"/>
            <w:tcBorders>
              <w:top w:val="nil"/>
              <w:left w:val="nil"/>
              <w:bottom w:val="nil"/>
              <w:right w:val="nil"/>
            </w:tcBorders>
            <w:shd w:val="clear" w:color="auto" w:fill="auto"/>
            <w:noWrap/>
            <w:hideMark/>
          </w:tcPr>
          <w:p w:rsidR="007F1447" w:rsidRPr="003C258E"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1.048</w:t>
            </w:r>
          </w:p>
        </w:tc>
        <w:tc>
          <w:tcPr>
            <w:tcW w:w="417" w:type="pct"/>
            <w:tcBorders>
              <w:top w:val="nil"/>
              <w:left w:val="nil"/>
              <w:bottom w:val="nil"/>
              <w:right w:val="nil"/>
            </w:tcBorders>
            <w:shd w:val="clear" w:color="auto" w:fill="auto"/>
            <w:noWrap/>
            <w:hideMark/>
          </w:tcPr>
          <w:p w:rsidR="007F1447" w:rsidRPr="003C258E"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0</w:t>
            </w:r>
          </w:p>
        </w:tc>
        <w:tc>
          <w:tcPr>
            <w:tcW w:w="513" w:type="pct"/>
            <w:tcBorders>
              <w:top w:val="nil"/>
              <w:left w:val="nil"/>
              <w:bottom w:val="nil"/>
              <w:right w:val="nil"/>
            </w:tcBorders>
            <w:shd w:val="clear" w:color="auto" w:fill="auto"/>
            <w:noWrap/>
            <w:hideMark/>
          </w:tcPr>
          <w:p w:rsidR="007F1447" w:rsidRPr="003C258E"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0</w:t>
            </w:r>
          </w:p>
        </w:tc>
        <w:tc>
          <w:tcPr>
            <w:tcW w:w="462" w:type="pct"/>
            <w:tcBorders>
              <w:top w:val="nil"/>
              <w:left w:val="nil"/>
              <w:bottom w:val="nil"/>
              <w:right w:val="nil"/>
            </w:tcBorders>
            <w:shd w:val="clear" w:color="auto" w:fill="auto"/>
            <w:noWrap/>
            <w:hideMark/>
          </w:tcPr>
          <w:p w:rsidR="007F1447" w:rsidRPr="003C258E"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1.048</w:t>
            </w:r>
          </w:p>
        </w:tc>
        <w:tc>
          <w:tcPr>
            <w:tcW w:w="417" w:type="pct"/>
            <w:tcBorders>
              <w:top w:val="nil"/>
              <w:left w:val="nil"/>
              <w:bottom w:val="nil"/>
              <w:right w:val="nil"/>
            </w:tcBorders>
            <w:shd w:val="clear" w:color="auto" w:fill="auto"/>
            <w:noWrap/>
            <w:hideMark/>
          </w:tcPr>
          <w:p w:rsidR="007F1447" w:rsidRPr="003C258E"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743</w:t>
            </w:r>
          </w:p>
        </w:tc>
        <w:tc>
          <w:tcPr>
            <w:tcW w:w="400" w:type="pct"/>
            <w:tcBorders>
              <w:top w:val="nil"/>
              <w:left w:val="nil"/>
              <w:bottom w:val="nil"/>
              <w:right w:val="nil"/>
            </w:tcBorders>
            <w:shd w:val="clear" w:color="auto" w:fill="auto"/>
            <w:noWrap/>
            <w:hideMark/>
          </w:tcPr>
          <w:p w:rsidR="007F1447" w:rsidRPr="003C258E"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305</w:t>
            </w:r>
          </w:p>
        </w:tc>
        <w:tc>
          <w:tcPr>
            <w:tcW w:w="417" w:type="pct"/>
            <w:tcBorders>
              <w:top w:val="nil"/>
              <w:left w:val="single" w:sz="4" w:space="0" w:color="auto"/>
              <w:bottom w:val="nil"/>
              <w:right w:val="single" w:sz="4" w:space="0" w:color="auto"/>
            </w:tcBorders>
            <w:shd w:val="clear" w:color="auto" w:fill="auto"/>
            <w:noWrap/>
            <w:hideMark/>
          </w:tcPr>
          <w:p w:rsidR="007F1447" w:rsidRPr="003C258E"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70,9</w:t>
            </w:r>
          </w:p>
        </w:tc>
      </w:tr>
      <w:tr w:rsidR="007F1447" w:rsidRPr="003C258E" w:rsidTr="008817BA">
        <w:trPr>
          <w:trHeight w:val="255"/>
        </w:trPr>
        <w:tc>
          <w:tcPr>
            <w:tcW w:w="460" w:type="pct"/>
            <w:tcBorders>
              <w:top w:val="nil"/>
              <w:left w:val="single" w:sz="4" w:space="0" w:color="auto"/>
              <w:bottom w:val="single" w:sz="4" w:space="0" w:color="auto"/>
              <w:right w:val="nil"/>
            </w:tcBorders>
            <w:shd w:val="clear" w:color="auto" w:fill="auto"/>
            <w:noWrap/>
            <w:hideMark/>
          </w:tcPr>
          <w:p w:rsidR="007F1447" w:rsidRPr="003C258E" w:rsidRDefault="007F1447" w:rsidP="008817BA">
            <w:pPr>
              <w:tabs>
                <w:tab w:val="clear" w:pos="284"/>
              </w:tabs>
              <w:jc w:val="center"/>
              <w:rPr>
                <w:rFonts w:ascii="Arial" w:hAnsi="Arial" w:cs="Arial"/>
                <w:color w:val="000000"/>
                <w:sz w:val="20"/>
              </w:rPr>
            </w:pPr>
            <w:r>
              <w:rPr>
                <w:rFonts w:ascii="Arial" w:hAnsi="Arial" w:cs="Arial"/>
                <w:color w:val="000000"/>
                <w:sz w:val="20"/>
              </w:rPr>
              <w:t> </w:t>
            </w:r>
          </w:p>
        </w:tc>
        <w:tc>
          <w:tcPr>
            <w:tcW w:w="1498" w:type="pct"/>
            <w:tcBorders>
              <w:top w:val="nil"/>
              <w:left w:val="single" w:sz="4" w:space="0" w:color="auto"/>
              <w:bottom w:val="single" w:sz="4" w:space="0" w:color="auto"/>
              <w:right w:val="single" w:sz="4" w:space="0" w:color="auto"/>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17" w:type="pct"/>
            <w:tcBorders>
              <w:top w:val="nil"/>
              <w:left w:val="nil"/>
              <w:bottom w:val="single" w:sz="4" w:space="0" w:color="auto"/>
              <w:right w:val="nil"/>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17" w:type="pct"/>
            <w:tcBorders>
              <w:top w:val="nil"/>
              <w:left w:val="nil"/>
              <w:bottom w:val="single" w:sz="4" w:space="0" w:color="auto"/>
              <w:right w:val="nil"/>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513" w:type="pct"/>
            <w:tcBorders>
              <w:top w:val="nil"/>
              <w:left w:val="nil"/>
              <w:bottom w:val="single" w:sz="4" w:space="0" w:color="auto"/>
              <w:right w:val="nil"/>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62" w:type="pct"/>
            <w:tcBorders>
              <w:top w:val="nil"/>
              <w:left w:val="nil"/>
              <w:bottom w:val="single" w:sz="4" w:space="0" w:color="auto"/>
              <w:right w:val="nil"/>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17" w:type="pct"/>
            <w:tcBorders>
              <w:top w:val="nil"/>
              <w:left w:val="nil"/>
              <w:bottom w:val="single" w:sz="4" w:space="0" w:color="auto"/>
              <w:right w:val="nil"/>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00" w:type="pct"/>
            <w:tcBorders>
              <w:top w:val="nil"/>
              <w:left w:val="nil"/>
              <w:bottom w:val="single" w:sz="4" w:space="0" w:color="auto"/>
              <w:right w:val="nil"/>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17" w:type="pct"/>
            <w:tcBorders>
              <w:top w:val="nil"/>
              <w:left w:val="single" w:sz="4" w:space="0" w:color="auto"/>
              <w:bottom w:val="single" w:sz="4" w:space="0" w:color="auto"/>
              <w:right w:val="single" w:sz="4" w:space="0" w:color="auto"/>
            </w:tcBorders>
            <w:shd w:val="clear" w:color="auto" w:fill="auto"/>
            <w:noWrap/>
            <w:hideMark/>
          </w:tcPr>
          <w:p w:rsidR="007F1447" w:rsidRPr="003C258E" w:rsidRDefault="007F1447" w:rsidP="008817BA">
            <w:pPr>
              <w:tabs>
                <w:tab w:val="clear" w:pos="284"/>
              </w:tabs>
              <w:rPr>
                <w:rFonts w:ascii="Arial" w:hAnsi="Arial" w:cs="Arial"/>
                <w:color w:val="000000"/>
                <w:sz w:val="20"/>
              </w:rPr>
            </w:pPr>
            <w:r>
              <w:rPr>
                <w:rFonts w:ascii="Arial" w:hAnsi="Arial" w:cs="Arial"/>
                <w:color w:val="000000"/>
                <w:sz w:val="20"/>
              </w:rPr>
              <w:t> </w:t>
            </w:r>
          </w:p>
        </w:tc>
      </w:tr>
    </w:tbl>
    <w:p w:rsidR="007F1447" w:rsidRDefault="007F1447" w:rsidP="007F1447">
      <w:pPr>
        <w:tabs>
          <w:tab w:val="clear" w:pos="284"/>
        </w:tabs>
        <w:rPr>
          <w:lang w:val="kl-GL"/>
        </w:rPr>
      </w:pPr>
    </w:p>
    <w:p w:rsidR="007F1447" w:rsidRPr="00490CE0" w:rsidRDefault="007F1447" w:rsidP="007F1447">
      <w:pPr>
        <w:tabs>
          <w:tab w:val="clear" w:pos="284"/>
        </w:tabs>
        <w:rPr>
          <w:lang w:val="kl-GL"/>
        </w:rPr>
      </w:pPr>
      <w:r>
        <w:t>Museumsvæsenet: Forbruget på konto 56 ligger på 70,9 %.</w:t>
      </w:r>
      <w:r>
        <w:rPr>
          <w:b/>
        </w:rPr>
        <w:t xml:space="preserve"> </w:t>
      </w:r>
    </w:p>
    <w:p w:rsidR="007F1447" w:rsidRPr="00490CE0" w:rsidRDefault="007F1447" w:rsidP="007F1447">
      <w:pPr>
        <w:rPr>
          <w:lang w:val="kl-GL"/>
        </w:rPr>
      </w:pPr>
      <w:r>
        <w:t xml:space="preserve">56-02-20 Maniitsoq </w:t>
      </w:r>
      <w:proofErr w:type="spellStart"/>
      <w:r>
        <w:t>Musum</w:t>
      </w:r>
      <w:proofErr w:type="spellEnd"/>
      <w:r>
        <w:t xml:space="preserve"> ligger på 70,4 %, dette skyldes, at medhjælperen er startet sent.</w:t>
      </w:r>
    </w:p>
    <w:p w:rsidR="007F1447" w:rsidRPr="00490CE0" w:rsidRDefault="007F1447" w:rsidP="007F1447">
      <w:pPr>
        <w:tabs>
          <w:tab w:val="clear" w:pos="284"/>
        </w:tabs>
        <w:rPr>
          <w:lang w:val="kl-GL"/>
        </w:rPr>
      </w:pPr>
    </w:p>
    <w:p w:rsidR="007F1447" w:rsidRDefault="007F1447" w:rsidP="007F1447">
      <w:pPr>
        <w:tabs>
          <w:tab w:val="clear" w:pos="284"/>
        </w:tabs>
        <w:rPr>
          <w:b/>
          <w:szCs w:val="24"/>
          <w:lang w:val="kl-GL"/>
        </w:rPr>
      </w:pPr>
      <w:r>
        <w:rPr>
          <w:b/>
        </w:rPr>
        <w:t xml:space="preserve">Konto 59 Kulturvirksomhed </w:t>
      </w:r>
      <w:r>
        <w:t>Maniitsoq + Bygder.</w:t>
      </w:r>
    </w:p>
    <w:tbl>
      <w:tblPr>
        <w:tblW w:w="5000" w:type="pct"/>
        <w:tblCellMar>
          <w:left w:w="70" w:type="dxa"/>
          <w:right w:w="70" w:type="dxa"/>
        </w:tblCellMar>
        <w:tblLook w:val="04A0" w:firstRow="1" w:lastRow="0" w:firstColumn="1" w:lastColumn="0" w:noHBand="0" w:noVBand="1"/>
      </w:tblPr>
      <w:tblGrid>
        <w:gridCol w:w="864"/>
        <w:gridCol w:w="3046"/>
        <w:gridCol w:w="784"/>
        <w:gridCol w:w="784"/>
        <w:gridCol w:w="965"/>
        <w:gridCol w:w="868"/>
        <w:gridCol w:w="784"/>
        <w:gridCol w:w="751"/>
        <w:gridCol w:w="782"/>
      </w:tblGrid>
      <w:tr w:rsidR="007F1447" w:rsidRPr="009B311C" w:rsidTr="008817BA">
        <w:trPr>
          <w:trHeight w:val="255"/>
        </w:trPr>
        <w:tc>
          <w:tcPr>
            <w:tcW w:w="449" w:type="pct"/>
            <w:tcBorders>
              <w:top w:val="single" w:sz="4" w:space="0" w:color="auto"/>
              <w:left w:val="single" w:sz="4" w:space="0" w:color="auto"/>
              <w:bottom w:val="nil"/>
              <w:right w:val="nil"/>
            </w:tcBorders>
            <w:shd w:val="clear" w:color="000000" w:fill="D9D9D9"/>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c>
          <w:tcPr>
            <w:tcW w:w="1582" w:type="pct"/>
            <w:tcBorders>
              <w:top w:val="single" w:sz="4" w:space="0" w:color="auto"/>
              <w:left w:val="single" w:sz="4" w:space="0" w:color="auto"/>
              <w:bottom w:val="nil"/>
              <w:right w:val="single" w:sz="4" w:space="0" w:color="auto"/>
            </w:tcBorders>
            <w:shd w:val="clear" w:color="000000" w:fill="D9D9D9"/>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07" w:type="pct"/>
            <w:tcBorders>
              <w:top w:val="single" w:sz="4" w:space="0" w:color="auto"/>
              <w:left w:val="nil"/>
              <w:bottom w:val="nil"/>
              <w:right w:val="nil"/>
            </w:tcBorders>
            <w:shd w:val="clear" w:color="000000" w:fill="D9D9D9"/>
            <w:noWrap/>
            <w:hideMark/>
          </w:tcPr>
          <w:p w:rsidR="007F1447" w:rsidRPr="009B311C"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Budget</w:t>
            </w:r>
          </w:p>
        </w:tc>
        <w:tc>
          <w:tcPr>
            <w:tcW w:w="407" w:type="pct"/>
            <w:tcBorders>
              <w:top w:val="single" w:sz="4" w:space="0" w:color="auto"/>
              <w:left w:val="nil"/>
              <w:bottom w:val="nil"/>
              <w:right w:val="nil"/>
            </w:tcBorders>
            <w:shd w:val="clear" w:color="000000" w:fill="D9D9D9"/>
            <w:noWrap/>
            <w:hideMark/>
          </w:tcPr>
          <w:p w:rsidR="007F1447" w:rsidRPr="009B311C"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Tillæg</w:t>
            </w:r>
          </w:p>
        </w:tc>
        <w:tc>
          <w:tcPr>
            <w:tcW w:w="501" w:type="pct"/>
            <w:tcBorders>
              <w:top w:val="single" w:sz="4" w:space="0" w:color="auto"/>
              <w:left w:val="nil"/>
              <w:bottom w:val="nil"/>
              <w:right w:val="nil"/>
            </w:tcBorders>
            <w:shd w:val="clear" w:color="000000" w:fill="D9D9D9"/>
            <w:noWrap/>
            <w:hideMark/>
          </w:tcPr>
          <w:p w:rsidR="007F1447" w:rsidRPr="009B311C" w:rsidRDefault="007F1447" w:rsidP="008817BA">
            <w:pPr>
              <w:tabs>
                <w:tab w:val="clear" w:pos="284"/>
              </w:tabs>
              <w:jc w:val="center"/>
              <w:rPr>
                <w:rFonts w:ascii="Arial Narrow" w:hAnsi="Arial Narrow" w:cs="Arial"/>
                <w:b/>
                <w:bCs/>
                <w:color w:val="000000"/>
                <w:sz w:val="20"/>
              </w:rPr>
            </w:pPr>
            <w:proofErr w:type="spellStart"/>
            <w:r>
              <w:rPr>
                <w:rFonts w:ascii="Arial Narrow" w:hAnsi="Arial Narrow" w:cs="Arial"/>
                <w:b/>
                <w:bCs/>
                <w:color w:val="000000"/>
                <w:sz w:val="20"/>
              </w:rPr>
              <w:t>Omplac</w:t>
            </w:r>
            <w:proofErr w:type="spellEnd"/>
            <w:r>
              <w:rPr>
                <w:rFonts w:ascii="Arial Narrow" w:hAnsi="Arial Narrow" w:cs="Arial"/>
                <w:b/>
                <w:bCs/>
                <w:color w:val="000000"/>
                <w:sz w:val="20"/>
              </w:rPr>
              <w:t>.</w:t>
            </w:r>
          </w:p>
        </w:tc>
        <w:tc>
          <w:tcPr>
            <w:tcW w:w="451" w:type="pct"/>
            <w:tcBorders>
              <w:top w:val="single" w:sz="4" w:space="0" w:color="auto"/>
              <w:left w:val="nil"/>
              <w:bottom w:val="nil"/>
              <w:right w:val="nil"/>
            </w:tcBorders>
            <w:shd w:val="clear" w:color="000000" w:fill="D9D9D9"/>
            <w:noWrap/>
            <w:hideMark/>
          </w:tcPr>
          <w:p w:rsidR="007F1447" w:rsidRPr="009B311C"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Bevilling</w:t>
            </w:r>
          </w:p>
        </w:tc>
        <w:tc>
          <w:tcPr>
            <w:tcW w:w="407" w:type="pct"/>
            <w:tcBorders>
              <w:top w:val="single" w:sz="4" w:space="0" w:color="auto"/>
              <w:left w:val="nil"/>
              <w:bottom w:val="nil"/>
              <w:right w:val="nil"/>
            </w:tcBorders>
            <w:shd w:val="clear" w:color="000000" w:fill="D9D9D9"/>
            <w:noWrap/>
            <w:hideMark/>
          </w:tcPr>
          <w:p w:rsidR="007F1447" w:rsidRPr="009B311C"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Forbrug</w:t>
            </w:r>
          </w:p>
        </w:tc>
        <w:tc>
          <w:tcPr>
            <w:tcW w:w="390" w:type="pct"/>
            <w:tcBorders>
              <w:top w:val="single" w:sz="4" w:space="0" w:color="auto"/>
              <w:left w:val="nil"/>
              <w:bottom w:val="nil"/>
              <w:right w:val="nil"/>
            </w:tcBorders>
            <w:shd w:val="clear" w:color="000000" w:fill="D9D9D9"/>
            <w:noWrap/>
            <w:hideMark/>
          </w:tcPr>
          <w:p w:rsidR="007F1447" w:rsidRPr="009B311C"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Rest</w:t>
            </w:r>
          </w:p>
        </w:tc>
        <w:tc>
          <w:tcPr>
            <w:tcW w:w="407" w:type="pct"/>
            <w:tcBorders>
              <w:top w:val="single" w:sz="4" w:space="0" w:color="auto"/>
              <w:left w:val="single" w:sz="4" w:space="0" w:color="auto"/>
              <w:bottom w:val="nil"/>
              <w:right w:val="single" w:sz="4" w:space="0" w:color="auto"/>
            </w:tcBorders>
            <w:shd w:val="clear" w:color="000000" w:fill="D9D9D9"/>
            <w:noWrap/>
            <w:hideMark/>
          </w:tcPr>
          <w:p w:rsidR="007F1447" w:rsidRPr="009B311C"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Forbrug</w:t>
            </w:r>
          </w:p>
        </w:tc>
      </w:tr>
      <w:tr w:rsidR="007F1447" w:rsidRPr="009B311C" w:rsidTr="008817BA">
        <w:trPr>
          <w:trHeight w:val="270"/>
        </w:trPr>
        <w:tc>
          <w:tcPr>
            <w:tcW w:w="449" w:type="pct"/>
            <w:tcBorders>
              <w:top w:val="nil"/>
              <w:left w:val="single" w:sz="4" w:space="0" w:color="auto"/>
              <w:bottom w:val="single" w:sz="4" w:space="0" w:color="auto"/>
              <w:right w:val="nil"/>
            </w:tcBorders>
            <w:shd w:val="clear" w:color="000000" w:fill="D9D9D9"/>
            <w:noWrap/>
            <w:hideMark/>
          </w:tcPr>
          <w:p w:rsidR="007F1447" w:rsidRPr="009B311C" w:rsidRDefault="007F1447" w:rsidP="008817BA">
            <w:pPr>
              <w:tabs>
                <w:tab w:val="clear" w:pos="284"/>
              </w:tabs>
              <w:rPr>
                <w:rFonts w:ascii="Arial" w:hAnsi="Arial" w:cs="Arial"/>
                <w:b/>
                <w:bCs/>
                <w:color w:val="000000"/>
                <w:sz w:val="20"/>
              </w:rPr>
            </w:pPr>
            <w:r>
              <w:rPr>
                <w:rFonts w:ascii="Arial" w:hAnsi="Arial" w:cs="Arial"/>
                <w:b/>
                <w:bCs/>
                <w:color w:val="000000"/>
                <w:sz w:val="20"/>
              </w:rPr>
              <w:t>Konto</w:t>
            </w:r>
          </w:p>
        </w:tc>
        <w:tc>
          <w:tcPr>
            <w:tcW w:w="1582" w:type="pct"/>
            <w:tcBorders>
              <w:top w:val="nil"/>
              <w:left w:val="single" w:sz="4" w:space="0" w:color="auto"/>
              <w:bottom w:val="single" w:sz="4" w:space="0" w:color="auto"/>
              <w:right w:val="single" w:sz="4" w:space="0" w:color="auto"/>
            </w:tcBorders>
            <w:shd w:val="clear" w:color="000000" w:fill="D9D9D9"/>
            <w:noWrap/>
            <w:hideMark/>
          </w:tcPr>
          <w:p w:rsidR="007F1447" w:rsidRPr="009B311C" w:rsidRDefault="007F1447" w:rsidP="008817BA">
            <w:pPr>
              <w:tabs>
                <w:tab w:val="clear" w:pos="284"/>
              </w:tabs>
              <w:rPr>
                <w:rFonts w:ascii="Arial" w:hAnsi="Arial" w:cs="Arial"/>
                <w:b/>
                <w:bCs/>
                <w:color w:val="000000"/>
                <w:sz w:val="20"/>
              </w:rPr>
            </w:pPr>
            <w:r>
              <w:rPr>
                <w:rFonts w:ascii="Arial" w:hAnsi="Arial" w:cs="Arial"/>
                <w:b/>
                <w:bCs/>
                <w:color w:val="000000"/>
                <w:sz w:val="20"/>
              </w:rPr>
              <w:t>Kontonavn</w:t>
            </w:r>
          </w:p>
        </w:tc>
        <w:tc>
          <w:tcPr>
            <w:tcW w:w="407" w:type="pct"/>
            <w:tcBorders>
              <w:top w:val="nil"/>
              <w:left w:val="nil"/>
              <w:bottom w:val="single" w:sz="4" w:space="0" w:color="auto"/>
              <w:right w:val="nil"/>
            </w:tcBorders>
            <w:shd w:val="clear" w:color="000000" w:fill="D9D9D9"/>
            <w:hideMark/>
          </w:tcPr>
          <w:p w:rsidR="007F1447" w:rsidRPr="009B311C"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07" w:type="pct"/>
            <w:tcBorders>
              <w:top w:val="nil"/>
              <w:left w:val="nil"/>
              <w:bottom w:val="single" w:sz="4" w:space="0" w:color="auto"/>
              <w:right w:val="nil"/>
            </w:tcBorders>
            <w:shd w:val="clear" w:color="000000" w:fill="D9D9D9"/>
            <w:hideMark/>
          </w:tcPr>
          <w:p w:rsidR="007F1447" w:rsidRPr="009B311C"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501" w:type="pct"/>
            <w:tcBorders>
              <w:top w:val="nil"/>
              <w:left w:val="nil"/>
              <w:bottom w:val="single" w:sz="4" w:space="0" w:color="auto"/>
              <w:right w:val="nil"/>
            </w:tcBorders>
            <w:shd w:val="clear" w:color="000000" w:fill="D9D9D9"/>
            <w:hideMark/>
          </w:tcPr>
          <w:p w:rsidR="007F1447" w:rsidRPr="009B311C"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51" w:type="pct"/>
            <w:tcBorders>
              <w:top w:val="nil"/>
              <w:left w:val="nil"/>
              <w:bottom w:val="single" w:sz="4" w:space="0" w:color="auto"/>
              <w:right w:val="nil"/>
            </w:tcBorders>
            <w:shd w:val="clear" w:color="000000" w:fill="D9D9D9"/>
            <w:hideMark/>
          </w:tcPr>
          <w:p w:rsidR="007F1447" w:rsidRPr="009B311C"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07" w:type="pct"/>
            <w:tcBorders>
              <w:top w:val="nil"/>
              <w:left w:val="nil"/>
              <w:bottom w:val="single" w:sz="4" w:space="0" w:color="auto"/>
              <w:right w:val="nil"/>
            </w:tcBorders>
            <w:shd w:val="clear" w:color="000000" w:fill="D9D9D9"/>
            <w:hideMark/>
          </w:tcPr>
          <w:p w:rsidR="007F1447" w:rsidRPr="009B311C"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390" w:type="pct"/>
            <w:tcBorders>
              <w:top w:val="nil"/>
              <w:left w:val="nil"/>
              <w:bottom w:val="single" w:sz="4" w:space="0" w:color="auto"/>
              <w:right w:val="nil"/>
            </w:tcBorders>
            <w:shd w:val="clear" w:color="000000" w:fill="D9D9D9"/>
            <w:hideMark/>
          </w:tcPr>
          <w:p w:rsidR="007F1447" w:rsidRPr="009B311C" w:rsidRDefault="007F1447" w:rsidP="008817BA">
            <w:pPr>
              <w:tabs>
                <w:tab w:val="clear" w:pos="284"/>
              </w:tabs>
              <w:jc w:val="center"/>
              <w:rPr>
                <w:rFonts w:ascii="Arial Narrow" w:hAnsi="Arial Narrow" w:cs="Arial"/>
                <w:b/>
                <w:bCs/>
                <w:color w:val="000000"/>
                <w:sz w:val="18"/>
                <w:szCs w:val="18"/>
              </w:rPr>
            </w:pPr>
            <w:r>
              <w:rPr>
                <w:rFonts w:ascii="Arial Narrow" w:hAnsi="Arial Narrow" w:cs="Arial"/>
                <w:b/>
                <w:bCs/>
                <w:color w:val="000000"/>
                <w:sz w:val="18"/>
                <w:szCs w:val="18"/>
              </w:rPr>
              <w:t>(1.000 kr.)</w:t>
            </w:r>
          </w:p>
        </w:tc>
        <w:tc>
          <w:tcPr>
            <w:tcW w:w="407" w:type="pct"/>
            <w:tcBorders>
              <w:top w:val="nil"/>
              <w:left w:val="single" w:sz="4" w:space="0" w:color="auto"/>
              <w:bottom w:val="single" w:sz="4" w:space="0" w:color="auto"/>
              <w:right w:val="single" w:sz="4" w:space="0" w:color="auto"/>
            </w:tcBorders>
            <w:shd w:val="clear" w:color="000000" w:fill="D9D9D9"/>
            <w:noWrap/>
            <w:hideMark/>
          </w:tcPr>
          <w:p w:rsidR="007F1447" w:rsidRPr="009B311C"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i %</w:t>
            </w:r>
          </w:p>
        </w:tc>
      </w:tr>
      <w:tr w:rsidR="007F1447" w:rsidRPr="009B311C" w:rsidTr="008817BA">
        <w:trPr>
          <w:trHeight w:val="255"/>
        </w:trPr>
        <w:tc>
          <w:tcPr>
            <w:tcW w:w="449" w:type="pct"/>
            <w:tcBorders>
              <w:top w:val="nil"/>
              <w:left w:val="single" w:sz="4" w:space="0" w:color="auto"/>
              <w:bottom w:val="nil"/>
              <w:right w:val="nil"/>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c>
          <w:tcPr>
            <w:tcW w:w="1582" w:type="pct"/>
            <w:tcBorders>
              <w:top w:val="nil"/>
              <w:left w:val="single" w:sz="4" w:space="0" w:color="auto"/>
              <w:bottom w:val="nil"/>
              <w:right w:val="single" w:sz="4" w:space="0" w:color="auto"/>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rPr>
                <w:rFonts w:ascii="Arial" w:hAnsi="Arial" w:cs="Arial"/>
                <w:color w:val="000000"/>
                <w:sz w:val="20"/>
              </w:rPr>
            </w:pP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501"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451"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390"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407" w:type="pct"/>
            <w:tcBorders>
              <w:top w:val="nil"/>
              <w:left w:val="single" w:sz="4" w:space="0" w:color="auto"/>
              <w:bottom w:val="nil"/>
              <w:right w:val="single" w:sz="4" w:space="0" w:color="auto"/>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9B311C" w:rsidTr="008817BA">
        <w:trPr>
          <w:trHeight w:val="255"/>
        </w:trPr>
        <w:tc>
          <w:tcPr>
            <w:tcW w:w="449" w:type="pct"/>
            <w:tcBorders>
              <w:top w:val="nil"/>
              <w:left w:val="single" w:sz="4" w:space="0" w:color="auto"/>
              <w:bottom w:val="nil"/>
              <w:right w:val="nil"/>
            </w:tcBorders>
            <w:shd w:val="clear" w:color="auto" w:fill="auto"/>
            <w:noWrap/>
            <w:hideMark/>
          </w:tcPr>
          <w:p w:rsidR="007F1447" w:rsidRPr="009B311C"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59</w:t>
            </w:r>
          </w:p>
        </w:tc>
        <w:tc>
          <w:tcPr>
            <w:tcW w:w="1582" w:type="pct"/>
            <w:tcBorders>
              <w:top w:val="nil"/>
              <w:left w:val="single" w:sz="4" w:space="0" w:color="auto"/>
              <w:bottom w:val="nil"/>
              <w:right w:val="single" w:sz="4" w:space="0" w:color="auto"/>
            </w:tcBorders>
            <w:shd w:val="clear" w:color="auto" w:fill="auto"/>
            <w:noWrap/>
            <w:hideMark/>
          </w:tcPr>
          <w:p w:rsidR="007F1447" w:rsidRPr="009B311C"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KULTUR- OG FOLKEOPLYSNING</w:t>
            </w: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rPr>
                <w:rFonts w:ascii="Arial Narrow" w:hAnsi="Arial Narrow" w:cs="Arial"/>
                <w:b/>
                <w:bCs/>
                <w:color w:val="000000"/>
                <w:sz w:val="20"/>
              </w:rPr>
            </w:pP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501"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451"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390"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407" w:type="pct"/>
            <w:tcBorders>
              <w:top w:val="nil"/>
              <w:left w:val="single" w:sz="4" w:space="0" w:color="auto"/>
              <w:bottom w:val="nil"/>
              <w:right w:val="single" w:sz="4" w:space="0" w:color="auto"/>
            </w:tcBorders>
            <w:shd w:val="clear" w:color="auto" w:fill="auto"/>
            <w:noWrap/>
            <w:hideMark/>
          </w:tcPr>
          <w:p w:rsidR="007F1447" w:rsidRPr="009B311C"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 </w:t>
            </w:r>
          </w:p>
        </w:tc>
      </w:tr>
      <w:tr w:rsidR="007F1447" w:rsidRPr="009B311C" w:rsidTr="008817BA">
        <w:trPr>
          <w:trHeight w:val="255"/>
        </w:trPr>
        <w:tc>
          <w:tcPr>
            <w:tcW w:w="449" w:type="pct"/>
            <w:tcBorders>
              <w:top w:val="nil"/>
              <w:left w:val="single" w:sz="4" w:space="0" w:color="auto"/>
              <w:bottom w:val="nil"/>
              <w:right w:val="nil"/>
            </w:tcBorders>
            <w:shd w:val="clear" w:color="auto" w:fill="auto"/>
            <w:noWrap/>
            <w:hideMark/>
          </w:tcPr>
          <w:p w:rsidR="007F1447" w:rsidRPr="009B311C"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 </w:t>
            </w:r>
          </w:p>
        </w:tc>
        <w:tc>
          <w:tcPr>
            <w:tcW w:w="1582" w:type="pct"/>
            <w:tcBorders>
              <w:top w:val="nil"/>
              <w:left w:val="single" w:sz="4" w:space="0" w:color="auto"/>
              <w:bottom w:val="nil"/>
              <w:right w:val="single" w:sz="4" w:space="0" w:color="auto"/>
            </w:tcBorders>
            <w:shd w:val="clear" w:color="auto" w:fill="auto"/>
            <w:noWrap/>
            <w:hideMark/>
          </w:tcPr>
          <w:p w:rsidR="007F1447" w:rsidRPr="009B311C" w:rsidRDefault="007F1447" w:rsidP="008817BA">
            <w:pPr>
              <w:tabs>
                <w:tab w:val="clear" w:pos="284"/>
              </w:tabs>
              <w:rPr>
                <w:rFonts w:ascii="Arial Narrow" w:hAnsi="Arial Narrow" w:cs="Arial"/>
                <w:b/>
                <w:bCs/>
                <w:color w:val="000000"/>
                <w:sz w:val="20"/>
              </w:rPr>
            </w:pPr>
            <w:r w:rsidRPr="009B311C">
              <w:rPr>
                <w:rFonts w:ascii="Arial Narrow" w:hAnsi="Arial Narrow" w:cs="Arial"/>
                <w:b/>
                <w:bCs/>
                <w:color w:val="000000"/>
                <w:sz w:val="20"/>
              </w:rPr>
              <w:t>SAANIKKULLU INGERLATSINEQ</w:t>
            </w: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rPr>
                <w:rFonts w:ascii="Arial Narrow" w:hAnsi="Arial Narrow" w:cs="Arial"/>
                <w:b/>
                <w:bCs/>
                <w:color w:val="000000"/>
                <w:sz w:val="20"/>
              </w:rPr>
            </w:pP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501"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451"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390"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407" w:type="pct"/>
            <w:tcBorders>
              <w:top w:val="nil"/>
              <w:left w:val="single" w:sz="4" w:space="0" w:color="auto"/>
              <w:bottom w:val="nil"/>
              <w:right w:val="single" w:sz="4" w:space="0" w:color="auto"/>
            </w:tcBorders>
            <w:shd w:val="clear" w:color="auto" w:fill="auto"/>
            <w:noWrap/>
            <w:hideMark/>
          </w:tcPr>
          <w:p w:rsidR="007F1447" w:rsidRPr="009B311C"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 </w:t>
            </w:r>
          </w:p>
        </w:tc>
      </w:tr>
      <w:tr w:rsidR="007F1447" w:rsidRPr="009B311C" w:rsidTr="008817BA">
        <w:trPr>
          <w:trHeight w:val="255"/>
        </w:trPr>
        <w:tc>
          <w:tcPr>
            <w:tcW w:w="449" w:type="pct"/>
            <w:tcBorders>
              <w:top w:val="nil"/>
              <w:left w:val="single" w:sz="4" w:space="0" w:color="auto"/>
              <w:bottom w:val="nil"/>
              <w:right w:val="nil"/>
            </w:tcBorders>
            <w:shd w:val="clear" w:color="auto" w:fill="auto"/>
            <w:noWrap/>
            <w:hideMark/>
          </w:tcPr>
          <w:p w:rsidR="007F1447" w:rsidRPr="009B311C"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59-01</w:t>
            </w:r>
          </w:p>
        </w:tc>
        <w:tc>
          <w:tcPr>
            <w:tcW w:w="1582" w:type="pct"/>
            <w:tcBorders>
              <w:top w:val="nil"/>
              <w:left w:val="single" w:sz="4" w:space="0" w:color="auto"/>
              <w:bottom w:val="nil"/>
              <w:right w:val="single" w:sz="4" w:space="0" w:color="auto"/>
            </w:tcBorders>
            <w:shd w:val="clear" w:color="auto" w:fill="auto"/>
            <w:hideMark/>
          </w:tcPr>
          <w:p w:rsidR="007F1447" w:rsidRPr="009B311C" w:rsidRDefault="007F1447" w:rsidP="008817BA">
            <w:pPr>
              <w:tabs>
                <w:tab w:val="clear" w:pos="284"/>
              </w:tabs>
              <w:rPr>
                <w:rFonts w:ascii="Arial Narrow" w:hAnsi="Arial Narrow" w:cs="Arial"/>
                <w:color w:val="000000"/>
                <w:sz w:val="20"/>
              </w:rPr>
            </w:pPr>
            <w:r>
              <w:rPr>
                <w:rFonts w:ascii="Arial Narrow" w:hAnsi="Arial Narrow" w:cs="Arial"/>
                <w:color w:val="000000"/>
                <w:sz w:val="20"/>
              </w:rPr>
              <w:t>FRITIDSVIRKSOMHED OG KULTUR</w:t>
            </w: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550</w:t>
            </w: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501"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51"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550</w:t>
            </w: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389</w:t>
            </w:r>
          </w:p>
        </w:tc>
        <w:tc>
          <w:tcPr>
            <w:tcW w:w="390"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161</w:t>
            </w:r>
          </w:p>
        </w:tc>
        <w:tc>
          <w:tcPr>
            <w:tcW w:w="407" w:type="pct"/>
            <w:tcBorders>
              <w:top w:val="nil"/>
              <w:left w:val="single" w:sz="4" w:space="0" w:color="auto"/>
              <w:bottom w:val="nil"/>
              <w:right w:val="single" w:sz="4" w:space="0" w:color="auto"/>
            </w:tcBorders>
            <w:shd w:val="clear" w:color="auto" w:fill="auto"/>
            <w:noWrap/>
            <w:hideMark/>
          </w:tcPr>
          <w:p w:rsidR="007F1447" w:rsidRPr="009B311C"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70,7</w:t>
            </w:r>
          </w:p>
        </w:tc>
      </w:tr>
      <w:tr w:rsidR="007F1447" w:rsidRPr="009B311C" w:rsidTr="008817BA">
        <w:trPr>
          <w:trHeight w:val="255"/>
        </w:trPr>
        <w:tc>
          <w:tcPr>
            <w:tcW w:w="449" w:type="pct"/>
            <w:tcBorders>
              <w:top w:val="nil"/>
              <w:left w:val="single" w:sz="4" w:space="0" w:color="auto"/>
              <w:bottom w:val="nil"/>
              <w:right w:val="nil"/>
            </w:tcBorders>
            <w:shd w:val="clear" w:color="auto" w:fill="auto"/>
            <w:noWrap/>
            <w:hideMark/>
          </w:tcPr>
          <w:p w:rsidR="007F1447" w:rsidRPr="009B311C" w:rsidRDefault="007F1447" w:rsidP="008817BA">
            <w:pPr>
              <w:tabs>
                <w:tab w:val="clear" w:pos="284"/>
              </w:tabs>
              <w:jc w:val="center"/>
              <w:rPr>
                <w:rFonts w:ascii="Arial" w:hAnsi="Arial" w:cs="Arial"/>
                <w:color w:val="000000"/>
                <w:sz w:val="20"/>
              </w:rPr>
            </w:pPr>
            <w:r>
              <w:rPr>
                <w:rFonts w:ascii="Arial" w:hAnsi="Arial" w:cs="Arial"/>
                <w:color w:val="000000"/>
                <w:sz w:val="20"/>
              </w:rPr>
              <w:t> </w:t>
            </w:r>
          </w:p>
        </w:tc>
        <w:tc>
          <w:tcPr>
            <w:tcW w:w="1582" w:type="pct"/>
            <w:tcBorders>
              <w:top w:val="nil"/>
              <w:left w:val="single" w:sz="4" w:space="0" w:color="auto"/>
              <w:bottom w:val="nil"/>
              <w:right w:val="single" w:sz="4" w:space="0" w:color="auto"/>
            </w:tcBorders>
            <w:shd w:val="clear" w:color="auto" w:fill="auto"/>
            <w:hideMark/>
          </w:tcPr>
          <w:p w:rsidR="007F1447" w:rsidRPr="009B311C" w:rsidRDefault="007F1447" w:rsidP="008817BA">
            <w:pPr>
              <w:tabs>
                <w:tab w:val="clear" w:pos="284"/>
              </w:tabs>
              <w:rPr>
                <w:rFonts w:ascii="Arial Narrow" w:hAnsi="Arial Narrow" w:cs="Arial"/>
                <w:color w:val="000000"/>
                <w:sz w:val="20"/>
              </w:rPr>
            </w:pPr>
            <w:r w:rsidRPr="009B311C">
              <w:rPr>
                <w:rFonts w:ascii="Arial Narrow" w:hAnsi="Arial Narrow" w:cs="Arial"/>
                <w:color w:val="000000"/>
                <w:sz w:val="20"/>
              </w:rPr>
              <w:t>KULLU SIUNERTAT</w:t>
            </w: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rPr>
                <w:rFonts w:ascii="Arial Narrow" w:hAnsi="Arial Narrow" w:cs="Arial"/>
                <w:color w:val="000000"/>
                <w:sz w:val="20"/>
              </w:rPr>
            </w:pP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501"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451"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390"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407" w:type="pct"/>
            <w:tcBorders>
              <w:top w:val="nil"/>
              <w:left w:val="single" w:sz="4" w:space="0" w:color="auto"/>
              <w:bottom w:val="nil"/>
              <w:right w:val="single" w:sz="4" w:space="0" w:color="auto"/>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9B311C" w:rsidTr="008817BA">
        <w:trPr>
          <w:trHeight w:val="255"/>
        </w:trPr>
        <w:tc>
          <w:tcPr>
            <w:tcW w:w="449" w:type="pct"/>
            <w:tcBorders>
              <w:top w:val="nil"/>
              <w:left w:val="single" w:sz="4" w:space="0" w:color="auto"/>
              <w:bottom w:val="nil"/>
              <w:right w:val="nil"/>
            </w:tcBorders>
            <w:shd w:val="clear" w:color="auto" w:fill="auto"/>
            <w:noWrap/>
            <w:hideMark/>
          </w:tcPr>
          <w:p w:rsidR="007F1447" w:rsidRPr="009B311C" w:rsidRDefault="007F1447" w:rsidP="008817BA">
            <w:pPr>
              <w:tabs>
                <w:tab w:val="clear" w:pos="284"/>
              </w:tabs>
              <w:jc w:val="center"/>
              <w:rPr>
                <w:rFonts w:ascii="Arial Narrow" w:hAnsi="Arial Narrow" w:cs="Arial"/>
                <w:color w:val="000000"/>
                <w:sz w:val="20"/>
              </w:rPr>
            </w:pPr>
            <w:r>
              <w:rPr>
                <w:rFonts w:ascii="Arial Narrow" w:hAnsi="Arial Narrow" w:cs="Arial"/>
                <w:color w:val="000000"/>
                <w:sz w:val="20"/>
              </w:rPr>
              <w:t>59-03</w:t>
            </w:r>
          </w:p>
        </w:tc>
        <w:tc>
          <w:tcPr>
            <w:tcW w:w="1582" w:type="pct"/>
            <w:tcBorders>
              <w:top w:val="nil"/>
              <w:left w:val="single" w:sz="4" w:space="0" w:color="auto"/>
              <w:bottom w:val="nil"/>
              <w:right w:val="single" w:sz="4" w:space="0" w:color="auto"/>
            </w:tcBorders>
            <w:shd w:val="clear" w:color="auto" w:fill="auto"/>
            <w:hideMark/>
          </w:tcPr>
          <w:p w:rsidR="007F1447" w:rsidRPr="009B311C" w:rsidRDefault="007F1447" w:rsidP="008817BA">
            <w:pPr>
              <w:tabs>
                <w:tab w:val="clear" w:pos="284"/>
              </w:tabs>
              <w:rPr>
                <w:rFonts w:ascii="Arial Narrow" w:hAnsi="Arial Narrow" w:cs="Arial"/>
                <w:color w:val="000000"/>
                <w:sz w:val="20"/>
              </w:rPr>
            </w:pPr>
            <w:r>
              <w:rPr>
                <w:rFonts w:ascii="Arial Narrow" w:hAnsi="Arial Narrow" w:cs="Arial"/>
                <w:color w:val="000000"/>
                <w:sz w:val="20"/>
              </w:rPr>
              <w:t xml:space="preserve">TILSKUD TIL </w:t>
            </w: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2.736</w:t>
            </w: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501"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0</w:t>
            </w:r>
          </w:p>
        </w:tc>
        <w:tc>
          <w:tcPr>
            <w:tcW w:w="451"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2.736</w:t>
            </w: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2.465</w:t>
            </w:r>
          </w:p>
        </w:tc>
        <w:tc>
          <w:tcPr>
            <w:tcW w:w="390"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271</w:t>
            </w:r>
          </w:p>
        </w:tc>
        <w:tc>
          <w:tcPr>
            <w:tcW w:w="407" w:type="pct"/>
            <w:tcBorders>
              <w:top w:val="nil"/>
              <w:left w:val="single" w:sz="4" w:space="0" w:color="auto"/>
              <w:bottom w:val="nil"/>
              <w:right w:val="single" w:sz="4" w:space="0" w:color="auto"/>
            </w:tcBorders>
            <w:shd w:val="clear" w:color="auto" w:fill="auto"/>
            <w:noWrap/>
            <w:hideMark/>
          </w:tcPr>
          <w:p w:rsidR="007F1447" w:rsidRPr="009B311C" w:rsidRDefault="007F1447" w:rsidP="008817BA">
            <w:pPr>
              <w:tabs>
                <w:tab w:val="clear" w:pos="284"/>
              </w:tabs>
              <w:jc w:val="right"/>
              <w:rPr>
                <w:rFonts w:ascii="Arial Narrow" w:hAnsi="Arial Narrow" w:cs="Arial"/>
                <w:color w:val="000000"/>
                <w:sz w:val="20"/>
              </w:rPr>
            </w:pPr>
            <w:r>
              <w:rPr>
                <w:rFonts w:ascii="Arial Narrow" w:hAnsi="Arial Narrow" w:cs="Arial"/>
                <w:color w:val="000000"/>
                <w:sz w:val="20"/>
              </w:rPr>
              <w:t>90,1</w:t>
            </w:r>
          </w:p>
        </w:tc>
      </w:tr>
      <w:tr w:rsidR="007F1447" w:rsidRPr="009B311C" w:rsidTr="008817BA">
        <w:trPr>
          <w:trHeight w:val="255"/>
        </w:trPr>
        <w:tc>
          <w:tcPr>
            <w:tcW w:w="449" w:type="pct"/>
            <w:tcBorders>
              <w:top w:val="nil"/>
              <w:left w:val="single" w:sz="4" w:space="0" w:color="auto"/>
              <w:bottom w:val="nil"/>
              <w:right w:val="nil"/>
            </w:tcBorders>
            <w:shd w:val="clear" w:color="auto" w:fill="auto"/>
            <w:noWrap/>
            <w:hideMark/>
          </w:tcPr>
          <w:p w:rsidR="007F1447" w:rsidRPr="009B311C" w:rsidRDefault="007F1447" w:rsidP="008817BA">
            <w:pPr>
              <w:tabs>
                <w:tab w:val="clear" w:pos="284"/>
              </w:tabs>
              <w:jc w:val="center"/>
              <w:rPr>
                <w:rFonts w:ascii="Arial" w:hAnsi="Arial" w:cs="Arial"/>
                <w:color w:val="000000"/>
                <w:sz w:val="20"/>
              </w:rPr>
            </w:pPr>
            <w:r>
              <w:rPr>
                <w:rFonts w:ascii="Arial" w:hAnsi="Arial" w:cs="Arial"/>
                <w:color w:val="000000"/>
                <w:sz w:val="20"/>
              </w:rPr>
              <w:t> </w:t>
            </w:r>
          </w:p>
        </w:tc>
        <w:tc>
          <w:tcPr>
            <w:tcW w:w="1582" w:type="pct"/>
            <w:tcBorders>
              <w:top w:val="nil"/>
              <w:left w:val="single" w:sz="4" w:space="0" w:color="auto"/>
              <w:bottom w:val="nil"/>
              <w:right w:val="single" w:sz="4" w:space="0" w:color="auto"/>
            </w:tcBorders>
            <w:shd w:val="clear" w:color="auto" w:fill="auto"/>
            <w:hideMark/>
          </w:tcPr>
          <w:p w:rsidR="007F1447" w:rsidRPr="009B311C" w:rsidRDefault="007F1447" w:rsidP="008817BA">
            <w:pPr>
              <w:tabs>
                <w:tab w:val="clear" w:pos="284"/>
              </w:tabs>
              <w:rPr>
                <w:rFonts w:ascii="Arial Narrow" w:hAnsi="Arial Narrow" w:cs="Arial"/>
                <w:color w:val="000000"/>
                <w:sz w:val="20"/>
              </w:rPr>
            </w:pPr>
            <w:r>
              <w:rPr>
                <w:rFonts w:ascii="Arial Narrow" w:hAnsi="Arial Narrow" w:cs="Arial"/>
                <w:color w:val="000000"/>
                <w:sz w:val="20"/>
              </w:rPr>
              <w:t xml:space="preserve"> IDRÆTSFORMÅL</w:t>
            </w: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rPr>
                <w:rFonts w:ascii="Arial Narrow" w:hAnsi="Arial Narrow" w:cs="Arial"/>
                <w:color w:val="000000"/>
                <w:sz w:val="20"/>
              </w:rPr>
            </w:pP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501"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451"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390" w:type="pct"/>
            <w:tcBorders>
              <w:top w:val="nil"/>
              <w:left w:val="nil"/>
              <w:bottom w:val="nil"/>
              <w:right w:val="nil"/>
            </w:tcBorders>
            <w:shd w:val="clear" w:color="auto" w:fill="auto"/>
            <w:noWrap/>
            <w:hideMark/>
          </w:tcPr>
          <w:p w:rsidR="007F1447" w:rsidRPr="009B311C" w:rsidRDefault="007F1447" w:rsidP="008817BA">
            <w:pPr>
              <w:tabs>
                <w:tab w:val="clear" w:pos="284"/>
              </w:tabs>
              <w:rPr>
                <w:sz w:val="20"/>
              </w:rPr>
            </w:pPr>
          </w:p>
        </w:tc>
        <w:tc>
          <w:tcPr>
            <w:tcW w:w="407" w:type="pct"/>
            <w:tcBorders>
              <w:top w:val="nil"/>
              <w:left w:val="single" w:sz="4" w:space="0" w:color="auto"/>
              <w:bottom w:val="nil"/>
              <w:right w:val="single" w:sz="4" w:space="0" w:color="auto"/>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9B311C" w:rsidTr="008817BA">
        <w:trPr>
          <w:trHeight w:val="255"/>
        </w:trPr>
        <w:tc>
          <w:tcPr>
            <w:tcW w:w="449" w:type="pct"/>
            <w:tcBorders>
              <w:top w:val="single" w:sz="4" w:space="0" w:color="auto"/>
              <w:left w:val="single" w:sz="4" w:space="0" w:color="auto"/>
              <w:bottom w:val="nil"/>
              <w:right w:val="nil"/>
            </w:tcBorders>
            <w:shd w:val="clear" w:color="auto" w:fill="auto"/>
            <w:noWrap/>
            <w:hideMark/>
          </w:tcPr>
          <w:p w:rsidR="007F1447" w:rsidRPr="009B311C" w:rsidRDefault="007F1447" w:rsidP="008817BA">
            <w:pPr>
              <w:tabs>
                <w:tab w:val="clear" w:pos="284"/>
              </w:tabs>
              <w:jc w:val="center"/>
              <w:rPr>
                <w:rFonts w:ascii="Arial" w:hAnsi="Arial" w:cs="Arial"/>
                <w:color w:val="000000"/>
                <w:sz w:val="20"/>
              </w:rPr>
            </w:pPr>
            <w:r>
              <w:rPr>
                <w:rFonts w:ascii="Arial" w:hAnsi="Arial" w:cs="Arial"/>
                <w:color w:val="000000"/>
                <w:sz w:val="20"/>
              </w:rPr>
              <w:t> </w:t>
            </w:r>
          </w:p>
        </w:tc>
        <w:tc>
          <w:tcPr>
            <w:tcW w:w="1582" w:type="pct"/>
            <w:tcBorders>
              <w:top w:val="single" w:sz="4" w:space="0" w:color="auto"/>
              <w:left w:val="single" w:sz="4" w:space="0" w:color="auto"/>
              <w:bottom w:val="nil"/>
              <w:right w:val="single" w:sz="4" w:space="0" w:color="auto"/>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07" w:type="pct"/>
            <w:tcBorders>
              <w:top w:val="single" w:sz="4" w:space="0" w:color="auto"/>
              <w:left w:val="nil"/>
              <w:bottom w:val="nil"/>
              <w:right w:val="nil"/>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07" w:type="pct"/>
            <w:tcBorders>
              <w:top w:val="single" w:sz="4" w:space="0" w:color="auto"/>
              <w:left w:val="nil"/>
              <w:bottom w:val="nil"/>
              <w:right w:val="nil"/>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c>
          <w:tcPr>
            <w:tcW w:w="501" w:type="pct"/>
            <w:tcBorders>
              <w:top w:val="single" w:sz="4" w:space="0" w:color="auto"/>
              <w:left w:val="nil"/>
              <w:bottom w:val="nil"/>
              <w:right w:val="nil"/>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51" w:type="pct"/>
            <w:tcBorders>
              <w:top w:val="single" w:sz="4" w:space="0" w:color="auto"/>
              <w:left w:val="nil"/>
              <w:bottom w:val="nil"/>
              <w:right w:val="nil"/>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07" w:type="pct"/>
            <w:tcBorders>
              <w:top w:val="single" w:sz="4" w:space="0" w:color="auto"/>
              <w:left w:val="nil"/>
              <w:bottom w:val="nil"/>
              <w:right w:val="nil"/>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0" w:type="pct"/>
            <w:tcBorders>
              <w:top w:val="single" w:sz="4" w:space="0" w:color="auto"/>
              <w:left w:val="nil"/>
              <w:bottom w:val="nil"/>
              <w:right w:val="nil"/>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07" w:type="pct"/>
            <w:tcBorders>
              <w:top w:val="single" w:sz="4" w:space="0" w:color="auto"/>
              <w:left w:val="single" w:sz="4" w:space="0" w:color="auto"/>
              <w:bottom w:val="nil"/>
              <w:right w:val="single" w:sz="4" w:space="0" w:color="auto"/>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r>
      <w:tr w:rsidR="007F1447" w:rsidRPr="009B311C" w:rsidTr="008817BA">
        <w:trPr>
          <w:trHeight w:val="255"/>
        </w:trPr>
        <w:tc>
          <w:tcPr>
            <w:tcW w:w="449" w:type="pct"/>
            <w:tcBorders>
              <w:top w:val="nil"/>
              <w:left w:val="single" w:sz="4" w:space="0" w:color="auto"/>
              <w:bottom w:val="nil"/>
              <w:right w:val="nil"/>
            </w:tcBorders>
            <w:shd w:val="clear" w:color="auto" w:fill="auto"/>
            <w:noWrap/>
            <w:hideMark/>
          </w:tcPr>
          <w:p w:rsidR="007F1447" w:rsidRPr="009B311C" w:rsidRDefault="007F1447" w:rsidP="008817BA">
            <w:pPr>
              <w:tabs>
                <w:tab w:val="clear" w:pos="284"/>
              </w:tabs>
              <w:jc w:val="center"/>
              <w:rPr>
                <w:rFonts w:ascii="Arial Narrow" w:hAnsi="Arial Narrow" w:cs="Arial"/>
                <w:b/>
                <w:bCs/>
                <w:color w:val="000000"/>
                <w:sz w:val="20"/>
              </w:rPr>
            </w:pPr>
            <w:r>
              <w:rPr>
                <w:rFonts w:ascii="Arial Narrow" w:hAnsi="Arial Narrow" w:cs="Arial"/>
                <w:b/>
                <w:bCs/>
                <w:color w:val="000000"/>
                <w:sz w:val="20"/>
              </w:rPr>
              <w:t>59</w:t>
            </w:r>
          </w:p>
        </w:tc>
        <w:tc>
          <w:tcPr>
            <w:tcW w:w="1582" w:type="pct"/>
            <w:tcBorders>
              <w:top w:val="nil"/>
              <w:left w:val="single" w:sz="4" w:space="0" w:color="auto"/>
              <w:bottom w:val="nil"/>
              <w:right w:val="single" w:sz="4" w:space="0" w:color="auto"/>
            </w:tcBorders>
            <w:shd w:val="clear" w:color="auto" w:fill="auto"/>
            <w:noWrap/>
            <w:hideMark/>
          </w:tcPr>
          <w:p w:rsidR="007F1447" w:rsidRPr="009B311C" w:rsidRDefault="007F1447" w:rsidP="008817BA">
            <w:pPr>
              <w:tabs>
                <w:tab w:val="clear" w:pos="284"/>
              </w:tabs>
              <w:rPr>
                <w:rFonts w:ascii="Arial Narrow" w:hAnsi="Arial Narrow" w:cs="Arial"/>
                <w:b/>
                <w:bCs/>
                <w:color w:val="000000"/>
                <w:sz w:val="20"/>
              </w:rPr>
            </w:pPr>
            <w:r>
              <w:rPr>
                <w:rFonts w:ascii="Arial Narrow" w:hAnsi="Arial Narrow" w:cs="Arial"/>
                <w:b/>
                <w:bCs/>
                <w:color w:val="000000"/>
                <w:sz w:val="20"/>
              </w:rPr>
              <w:t>KULTUR OG FOLKEOPLYSNINGER</w:t>
            </w: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3.286</w:t>
            </w: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0</w:t>
            </w:r>
          </w:p>
        </w:tc>
        <w:tc>
          <w:tcPr>
            <w:tcW w:w="501"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0</w:t>
            </w:r>
          </w:p>
        </w:tc>
        <w:tc>
          <w:tcPr>
            <w:tcW w:w="451"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3.286</w:t>
            </w:r>
          </w:p>
        </w:tc>
        <w:tc>
          <w:tcPr>
            <w:tcW w:w="407"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2.853</w:t>
            </w:r>
          </w:p>
        </w:tc>
        <w:tc>
          <w:tcPr>
            <w:tcW w:w="390" w:type="pct"/>
            <w:tcBorders>
              <w:top w:val="nil"/>
              <w:left w:val="nil"/>
              <w:bottom w:val="nil"/>
              <w:right w:val="nil"/>
            </w:tcBorders>
            <w:shd w:val="clear" w:color="auto" w:fill="auto"/>
            <w:noWrap/>
            <w:hideMark/>
          </w:tcPr>
          <w:p w:rsidR="007F1447" w:rsidRPr="009B311C"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433</w:t>
            </w:r>
          </w:p>
        </w:tc>
        <w:tc>
          <w:tcPr>
            <w:tcW w:w="407" w:type="pct"/>
            <w:tcBorders>
              <w:top w:val="nil"/>
              <w:left w:val="single" w:sz="4" w:space="0" w:color="auto"/>
              <w:bottom w:val="nil"/>
              <w:right w:val="single" w:sz="4" w:space="0" w:color="auto"/>
            </w:tcBorders>
            <w:shd w:val="clear" w:color="auto" w:fill="auto"/>
            <w:noWrap/>
            <w:hideMark/>
          </w:tcPr>
          <w:p w:rsidR="007F1447" w:rsidRPr="009B311C" w:rsidRDefault="007F1447" w:rsidP="008817BA">
            <w:pPr>
              <w:tabs>
                <w:tab w:val="clear" w:pos="284"/>
              </w:tabs>
              <w:jc w:val="right"/>
              <w:rPr>
                <w:rFonts w:ascii="Arial Narrow" w:hAnsi="Arial Narrow" w:cs="Arial"/>
                <w:b/>
                <w:bCs/>
                <w:color w:val="000000"/>
                <w:sz w:val="20"/>
              </w:rPr>
            </w:pPr>
            <w:r>
              <w:rPr>
                <w:rFonts w:ascii="Arial Narrow" w:hAnsi="Arial Narrow" w:cs="Arial"/>
                <w:b/>
                <w:bCs/>
                <w:color w:val="000000"/>
                <w:sz w:val="20"/>
              </w:rPr>
              <w:t>86,8</w:t>
            </w:r>
          </w:p>
        </w:tc>
      </w:tr>
      <w:tr w:rsidR="007F1447" w:rsidRPr="009B311C" w:rsidTr="008817BA">
        <w:trPr>
          <w:trHeight w:val="255"/>
        </w:trPr>
        <w:tc>
          <w:tcPr>
            <w:tcW w:w="449" w:type="pct"/>
            <w:tcBorders>
              <w:top w:val="nil"/>
              <w:left w:val="single" w:sz="4" w:space="0" w:color="auto"/>
              <w:bottom w:val="single" w:sz="4" w:space="0" w:color="auto"/>
              <w:right w:val="nil"/>
            </w:tcBorders>
            <w:shd w:val="clear" w:color="auto" w:fill="auto"/>
            <w:noWrap/>
            <w:hideMark/>
          </w:tcPr>
          <w:p w:rsidR="007F1447" w:rsidRPr="009B311C" w:rsidRDefault="007F1447" w:rsidP="008817BA">
            <w:pPr>
              <w:tabs>
                <w:tab w:val="clear" w:pos="284"/>
              </w:tabs>
              <w:jc w:val="center"/>
              <w:rPr>
                <w:rFonts w:ascii="Arial" w:hAnsi="Arial" w:cs="Arial"/>
                <w:color w:val="000000"/>
                <w:sz w:val="20"/>
              </w:rPr>
            </w:pPr>
            <w:r>
              <w:rPr>
                <w:rFonts w:ascii="Arial" w:hAnsi="Arial" w:cs="Arial"/>
                <w:color w:val="000000"/>
                <w:sz w:val="20"/>
              </w:rPr>
              <w:t> </w:t>
            </w:r>
          </w:p>
        </w:tc>
        <w:tc>
          <w:tcPr>
            <w:tcW w:w="1582" w:type="pct"/>
            <w:tcBorders>
              <w:top w:val="nil"/>
              <w:left w:val="single" w:sz="4" w:space="0" w:color="auto"/>
              <w:bottom w:val="single" w:sz="4" w:space="0" w:color="auto"/>
              <w:right w:val="single" w:sz="4" w:space="0" w:color="auto"/>
            </w:tcBorders>
            <w:shd w:val="clear" w:color="auto" w:fill="auto"/>
            <w:noWrap/>
            <w:hideMark/>
          </w:tcPr>
          <w:p w:rsidR="007F1447" w:rsidRPr="009B311C" w:rsidRDefault="007F1447" w:rsidP="008817BA">
            <w:pPr>
              <w:tabs>
                <w:tab w:val="clear" w:pos="284"/>
              </w:tabs>
              <w:rPr>
                <w:rFonts w:ascii="Arial Narrow" w:hAnsi="Arial Narrow" w:cs="Arial"/>
                <w:b/>
                <w:bCs/>
                <w:color w:val="000000"/>
                <w:sz w:val="20"/>
              </w:rPr>
            </w:pPr>
            <w:r w:rsidRPr="009B311C">
              <w:rPr>
                <w:rFonts w:ascii="Arial Narrow" w:hAnsi="Arial Narrow" w:cs="Arial"/>
                <w:b/>
                <w:bCs/>
                <w:color w:val="000000"/>
                <w:sz w:val="20"/>
              </w:rPr>
              <w:t>KULLU INGERLATSINEQ</w:t>
            </w:r>
          </w:p>
        </w:tc>
        <w:tc>
          <w:tcPr>
            <w:tcW w:w="407" w:type="pct"/>
            <w:tcBorders>
              <w:top w:val="nil"/>
              <w:left w:val="nil"/>
              <w:bottom w:val="single" w:sz="4" w:space="0" w:color="auto"/>
              <w:right w:val="nil"/>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07" w:type="pct"/>
            <w:tcBorders>
              <w:top w:val="nil"/>
              <w:left w:val="nil"/>
              <w:bottom w:val="single" w:sz="4" w:space="0" w:color="auto"/>
              <w:right w:val="nil"/>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c>
          <w:tcPr>
            <w:tcW w:w="501" w:type="pct"/>
            <w:tcBorders>
              <w:top w:val="nil"/>
              <w:left w:val="nil"/>
              <w:bottom w:val="single" w:sz="4" w:space="0" w:color="auto"/>
              <w:right w:val="nil"/>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51" w:type="pct"/>
            <w:tcBorders>
              <w:top w:val="nil"/>
              <w:left w:val="nil"/>
              <w:bottom w:val="single" w:sz="4" w:space="0" w:color="auto"/>
              <w:right w:val="nil"/>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07" w:type="pct"/>
            <w:tcBorders>
              <w:top w:val="nil"/>
              <w:left w:val="nil"/>
              <w:bottom w:val="single" w:sz="4" w:space="0" w:color="auto"/>
              <w:right w:val="nil"/>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c>
          <w:tcPr>
            <w:tcW w:w="390" w:type="pct"/>
            <w:tcBorders>
              <w:top w:val="nil"/>
              <w:left w:val="nil"/>
              <w:bottom w:val="single" w:sz="4" w:space="0" w:color="auto"/>
              <w:right w:val="nil"/>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c>
          <w:tcPr>
            <w:tcW w:w="407" w:type="pct"/>
            <w:tcBorders>
              <w:top w:val="nil"/>
              <w:left w:val="single" w:sz="4" w:space="0" w:color="auto"/>
              <w:bottom w:val="single" w:sz="4" w:space="0" w:color="auto"/>
              <w:right w:val="single" w:sz="4" w:space="0" w:color="auto"/>
            </w:tcBorders>
            <w:shd w:val="clear" w:color="auto" w:fill="auto"/>
            <w:noWrap/>
            <w:hideMark/>
          </w:tcPr>
          <w:p w:rsidR="007F1447" w:rsidRPr="009B311C" w:rsidRDefault="007F1447" w:rsidP="008817BA">
            <w:pPr>
              <w:tabs>
                <w:tab w:val="clear" w:pos="284"/>
              </w:tabs>
              <w:rPr>
                <w:rFonts w:ascii="Arial" w:hAnsi="Arial" w:cs="Arial"/>
                <w:color w:val="000000"/>
                <w:sz w:val="20"/>
              </w:rPr>
            </w:pPr>
            <w:r>
              <w:rPr>
                <w:rFonts w:ascii="Arial" w:hAnsi="Arial" w:cs="Arial"/>
                <w:color w:val="000000"/>
                <w:sz w:val="20"/>
              </w:rPr>
              <w:t> </w:t>
            </w:r>
          </w:p>
        </w:tc>
      </w:tr>
    </w:tbl>
    <w:p w:rsidR="007F1447" w:rsidRPr="00490CE0" w:rsidRDefault="007F1447" w:rsidP="007F1447">
      <w:pPr>
        <w:tabs>
          <w:tab w:val="clear" w:pos="284"/>
        </w:tabs>
        <w:rPr>
          <w:b/>
          <w:lang w:val="kl-GL"/>
        </w:rPr>
      </w:pPr>
    </w:p>
    <w:p w:rsidR="007F1447" w:rsidRPr="009B311C" w:rsidRDefault="007F1447" w:rsidP="007F1447">
      <w:pPr>
        <w:tabs>
          <w:tab w:val="clear" w:pos="284"/>
        </w:tabs>
        <w:rPr>
          <w:b/>
          <w:lang w:val="kl-GL"/>
        </w:rPr>
      </w:pPr>
      <w:r>
        <w:rPr>
          <w:b/>
        </w:rPr>
        <w:t>Kultur og folkeoplysning: forbruget ligger på 86,8 %.</w:t>
      </w:r>
    </w:p>
    <w:p w:rsidR="007F1447" w:rsidRPr="00490CE0" w:rsidRDefault="007F1447" w:rsidP="007F1447">
      <w:pPr>
        <w:rPr>
          <w:lang w:val="kl-GL"/>
        </w:rPr>
      </w:pPr>
      <w:r>
        <w:t>59-01-20-35-00 Tilskud til foreninger ligger på 121,6 %, der er givet tilskud til MS-89 og KS-69 og der er indkøbt madrasser, der skal benyttes til afholdelse af GM, endvidere er der indkøbt trøjer, mundgodt og drikkelse for at markere åbningen af den nye fodboldbane.</w:t>
      </w:r>
    </w:p>
    <w:p w:rsidR="007F1447" w:rsidRPr="00490CE0" w:rsidRDefault="007F1447" w:rsidP="007F1447">
      <w:pPr>
        <w:rPr>
          <w:lang w:val="kl-GL"/>
        </w:rPr>
      </w:pPr>
      <w:r>
        <w:t>59-03-20-35-00 Tilskud til idrætshallen, der gives en månedlig tilskud på kr. 202.161,67.</w:t>
      </w:r>
    </w:p>
    <w:p w:rsidR="007F1447" w:rsidRPr="00490CE0" w:rsidRDefault="007F1447" w:rsidP="007F1447">
      <w:pPr>
        <w:spacing w:after="120"/>
        <w:rPr>
          <w:lang w:val="kl-GL"/>
        </w:rPr>
      </w:pPr>
      <w:r>
        <w:t>59-03-20-35-99 Tilskud til idrætsrejser</w:t>
      </w:r>
    </w:p>
    <w:p w:rsidR="007F1447" w:rsidRPr="00490CE0" w:rsidRDefault="007F1447" w:rsidP="007F1447">
      <w:pPr>
        <w:tabs>
          <w:tab w:val="decimal" w:pos="6237"/>
        </w:tabs>
        <w:rPr>
          <w:lang w:val="kl-GL"/>
        </w:rPr>
      </w:pPr>
      <w:proofErr w:type="spellStart"/>
      <w:r>
        <w:t>Kâgsagssuk</w:t>
      </w:r>
      <w:proofErr w:type="spellEnd"/>
      <w:r>
        <w:t xml:space="preserve"> håndbold U15 drenge</w:t>
      </w:r>
      <w:r>
        <w:tab/>
        <w:t>40.000,00</w:t>
      </w:r>
    </w:p>
    <w:p w:rsidR="007F1447" w:rsidRPr="00490CE0" w:rsidRDefault="007F1447" w:rsidP="007F1447">
      <w:pPr>
        <w:tabs>
          <w:tab w:val="decimal" w:pos="6237"/>
        </w:tabs>
        <w:rPr>
          <w:lang w:val="kl-GL"/>
        </w:rPr>
      </w:pPr>
      <w:proofErr w:type="spellStart"/>
      <w:r>
        <w:t>Kâgsagssuk</w:t>
      </w:r>
      <w:proofErr w:type="spellEnd"/>
      <w:r>
        <w:t xml:space="preserve"> håndbold U12 piger</w:t>
      </w:r>
      <w:r>
        <w:tab/>
        <w:t>38.948,00</w:t>
      </w:r>
    </w:p>
    <w:p w:rsidR="007F1447" w:rsidRPr="00490CE0" w:rsidRDefault="007F1447" w:rsidP="007F1447">
      <w:pPr>
        <w:tabs>
          <w:tab w:val="decimal" w:pos="6237"/>
        </w:tabs>
        <w:rPr>
          <w:lang w:val="kl-GL"/>
        </w:rPr>
      </w:pPr>
      <w:proofErr w:type="spellStart"/>
      <w:r>
        <w:t>Kâgsagssuk</w:t>
      </w:r>
      <w:proofErr w:type="spellEnd"/>
      <w:r>
        <w:t xml:space="preserve"> håndbold U10 piger</w:t>
      </w:r>
      <w:r>
        <w:tab/>
        <w:t>38.948,00</w:t>
      </w:r>
    </w:p>
    <w:p w:rsidR="007F1447" w:rsidRPr="00490CE0" w:rsidRDefault="007F1447" w:rsidP="007F1447">
      <w:pPr>
        <w:tabs>
          <w:tab w:val="decimal" w:pos="6237"/>
        </w:tabs>
        <w:rPr>
          <w:lang w:val="kl-GL"/>
        </w:rPr>
      </w:pPr>
      <w:proofErr w:type="spellStart"/>
      <w:r>
        <w:t>Aqissiaq</w:t>
      </w:r>
      <w:proofErr w:type="spellEnd"/>
      <w:r>
        <w:t xml:space="preserve"> håndbold U15 piger</w:t>
      </w:r>
      <w:r>
        <w:tab/>
        <w:t>20.000,00</w:t>
      </w:r>
    </w:p>
    <w:p w:rsidR="007F1447" w:rsidRPr="00490CE0" w:rsidRDefault="007F1447" w:rsidP="007F1447">
      <w:pPr>
        <w:tabs>
          <w:tab w:val="decimal" w:pos="6237"/>
        </w:tabs>
        <w:rPr>
          <w:lang w:val="kl-GL"/>
        </w:rPr>
      </w:pPr>
      <w:proofErr w:type="spellStart"/>
      <w:r>
        <w:t>Aqissiaq</w:t>
      </w:r>
      <w:proofErr w:type="spellEnd"/>
      <w:r>
        <w:t xml:space="preserve"> håndbold damer</w:t>
      </w:r>
      <w:r>
        <w:tab/>
        <w:t>12.000,00</w:t>
      </w:r>
    </w:p>
    <w:p w:rsidR="007F1447" w:rsidRPr="00490CE0" w:rsidRDefault="007F1447" w:rsidP="007F1447">
      <w:pPr>
        <w:tabs>
          <w:tab w:val="decimal" w:pos="6237"/>
        </w:tabs>
        <w:rPr>
          <w:lang w:val="kl-GL"/>
        </w:rPr>
      </w:pPr>
      <w:proofErr w:type="spellStart"/>
      <w:r>
        <w:t>Kâgssagssuk</w:t>
      </w:r>
      <w:proofErr w:type="spellEnd"/>
      <w:r>
        <w:t xml:space="preserve"> </w:t>
      </w:r>
      <w:proofErr w:type="spellStart"/>
      <w:r>
        <w:t>Fútsal</w:t>
      </w:r>
      <w:proofErr w:type="spellEnd"/>
      <w:r>
        <w:t xml:space="preserve"> herrer</w:t>
      </w:r>
      <w:r>
        <w:tab/>
        <w:t>7.000,00</w:t>
      </w:r>
    </w:p>
    <w:p w:rsidR="007F1447" w:rsidRPr="00490CE0" w:rsidRDefault="007F1447" w:rsidP="007F1447">
      <w:pPr>
        <w:tabs>
          <w:tab w:val="decimal" w:pos="6237"/>
        </w:tabs>
        <w:rPr>
          <w:lang w:val="kl-GL"/>
        </w:rPr>
      </w:pPr>
      <w:proofErr w:type="spellStart"/>
      <w:r>
        <w:t>Kâgssagssuk</w:t>
      </w:r>
      <w:proofErr w:type="spellEnd"/>
      <w:r>
        <w:t xml:space="preserve"> </w:t>
      </w:r>
      <w:proofErr w:type="spellStart"/>
      <w:r>
        <w:t>fútsal</w:t>
      </w:r>
      <w:proofErr w:type="spellEnd"/>
      <w:r>
        <w:t xml:space="preserve"> drenge U15</w:t>
      </w:r>
      <w:r>
        <w:tab/>
        <w:t>36.400,00</w:t>
      </w:r>
    </w:p>
    <w:p w:rsidR="007F1447" w:rsidRPr="00490CE0" w:rsidRDefault="007F1447" w:rsidP="007F1447">
      <w:pPr>
        <w:tabs>
          <w:tab w:val="decimal" w:pos="6237"/>
        </w:tabs>
        <w:rPr>
          <w:lang w:val="kl-GL"/>
        </w:rPr>
      </w:pPr>
      <w:proofErr w:type="spellStart"/>
      <w:r>
        <w:t>Kâgssagssuk</w:t>
      </w:r>
      <w:proofErr w:type="spellEnd"/>
      <w:r>
        <w:t xml:space="preserve"> </w:t>
      </w:r>
      <w:proofErr w:type="spellStart"/>
      <w:r>
        <w:t>Fútsal</w:t>
      </w:r>
      <w:proofErr w:type="spellEnd"/>
      <w:r>
        <w:t xml:space="preserve"> drenge U11, U13</w:t>
      </w:r>
      <w:r>
        <w:tab/>
        <w:t>70.896,00</w:t>
      </w:r>
    </w:p>
    <w:p w:rsidR="007F1447" w:rsidRPr="00490CE0" w:rsidRDefault="007F1447" w:rsidP="007F1447">
      <w:pPr>
        <w:tabs>
          <w:tab w:val="decimal" w:pos="6237"/>
        </w:tabs>
        <w:rPr>
          <w:lang w:val="kl-GL"/>
        </w:rPr>
      </w:pPr>
      <w:r w:rsidRPr="00B11A55">
        <w:rPr>
          <w:lang w:val="kl-GL"/>
        </w:rPr>
        <w:t>Kâgssagssuk Fútsal oldboys</w:t>
      </w:r>
      <w:r w:rsidRPr="00B11A55">
        <w:rPr>
          <w:lang w:val="kl-GL"/>
        </w:rPr>
        <w:tab/>
        <w:t>7.440,00</w:t>
      </w:r>
    </w:p>
    <w:p w:rsidR="007F1447" w:rsidRPr="00490CE0" w:rsidRDefault="007F1447" w:rsidP="007F1447">
      <w:pPr>
        <w:tabs>
          <w:tab w:val="decimal" w:pos="6237"/>
        </w:tabs>
        <w:rPr>
          <w:lang w:val="kl-GL"/>
        </w:rPr>
      </w:pPr>
      <w:r w:rsidRPr="00B11A55">
        <w:rPr>
          <w:lang w:val="kl-GL"/>
        </w:rPr>
        <w:t>Alpin MS-89</w:t>
      </w:r>
      <w:r w:rsidRPr="00B11A55">
        <w:rPr>
          <w:lang w:val="kl-GL"/>
        </w:rPr>
        <w:tab/>
        <w:t>44.558,50</w:t>
      </w:r>
    </w:p>
    <w:p w:rsidR="007F1447" w:rsidRPr="00490CE0" w:rsidRDefault="007F1447" w:rsidP="007F1447">
      <w:pPr>
        <w:tabs>
          <w:tab w:val="decimal" w:pos="6237"/>
        </w:tabs>
        <w:rPr>
          <w:lang w:val="kl-GL"/>
        </w:rPr>
      </w:pPr>
      <w:r>
        <w:t>AVI Volleyball herrer og damer 15.000,00</w:t>
      </w:r>
    </w:p>
    <w:p w:rsidR="007F1447" w:rsidRPr="00490CE0" w:rsidRDefault="007F1447" w:rsidP="007F1447">
      <w:pPr>
        <w:tabs>
          <w:tab w:val="decimal" w:pos="6237"/>
        </w:tabs>
        <w:rPr>
          <w:lang w:val="kl-GL"/>
        </w:rPr>
      </w:pPr>
      <w:r>
        <w:t>KTVI Volleyball herrer og damer (</w:t>
      </w:r>
      <w:proofErr w:type="spellStart"/>
      <w:r>
        <w:t>Kangaamiut</w:t>
      </w:r>
      <w:proofErr w:type="spellEnd"/>
      <w:r>
        <w:t>)</w:t>
      </w:r>
      <w:r>
        <w:tab/>
        <w:t>15.000,00</w:t>
      </w:r>
    </w:p>
    <w:p w:rsidR="007F1447" w:rsidRPr="00490CE0" w:rsidRDefault="007F1447" w:rsidP="007F1447">
      <w:pPr>
        <w:tabs>
          <w:tab w:val="decimal" w:pos="6237"/>
        </w:tabs>
        <w:rPr>
          <w:lang w:val="kl-GL"/>
        </w:rPr>
      </w:pPr>
      <w:r>
        <w:t>NAPA-86 Bordtennis (</w:t>
      </w:r>
      <w:proofErr w:type="spellStart"/>
      <w:r>
        <w:t>Atammik</w:t>
      </w:r>
      <w:proofErr w:type="spellEnd"/>
      <w:r>
        <w:t>)</w:t>
      </w:r>
      <w:r>
        <w:tab/>
        <w:t>17.920,00</w:t>
      </w:r>
    </w:p>
    <w:p w:rsidR="007F1447" w:rsidRPr="00490CE0" w:rsidRDefault="007F1447" w:rsidP="007F1447">
      <w:pPr>
        <w:tabs>
          <w:tab w:val="decimal" w:pos="6237"/>
        </w:tabs>
        <w:rPr>
          <w:lang w:val="kl-GL"/>
        </w:rPr>
      </w:pPr>
      <w:proofErr w:type="spellStart"/>
      <w:r>
        <w:t>Kâgssagssuk</w:t>
      </w:r>
      <w:proofErr w:type="spellEnd"/>
      <w:r>
        <w:t xml:space="preserve"> </w:t>
      </w:r>
      <w:proofErr w:type="spellStart"/>
      <w:r>
        <w:t>Fútsal</w:t>
      </w:r>
      <w:proofErr w:type="spellEnd"/>
      <w:r>
        <w:t xml:space="preserve"> refundering af </w:t>
      </w:r>
      <w:proofErr w:type="spellStart"/>
      <w:r>
        <w:t>uforbrugt</w:t>
      </w:r>
      <w:proofErr w:type="spellEnd"/>
      <w:r>
        <w:t xml:space="preserve"> tilskud</w:t>
      </w:r>
      <w:r>
        <w:tab/>
        <w:t>- 14.200,00</w:t>
      </w:r>
    </w:p>
    <w:p w:rsidR="007F1447" w:rsidRPr="00490CE0" w:rsidRDefault="007F1447" w:rsidP="007F1447">
      <w:pPr>
        <w:tabs>
          <w:tab w:val="decimal" w:pos="6237"/>
        </w:tabs>
        <w:rPr>
          <w:lang w:val="kl-GL"/>
        </w:rPr>
      </w:pPr>
      <w:proofErr w:type="spellStart"/>
      <w:r>
        <w:t>Kâgssagssuk</w:t>
      </w:r>
      <w:proofErr w:type="spellEnd"/>
      <w:r>
        <w:t xml:space="preserve"> </w:t>
      </w:r>
      <w:proofErr w:type="spellStart"/>
      <w:r>
        <w:t>Fútsal</w:t>
      </w:r>
      <w:proofErr w:type="spellEnd"/>
      <w:r>
        <w:t xml:space="preserve"> drenge U11, U13 rettelse</w:t>
      </w:r>
      <w:r>
        <w:tab/>
        <w:t>4.772,00</w:t>
      </w:r>
    </w:p>
    <w:p w:rsidR="007F1447" w:rsidRPr="00490CE0" w:rsidRDefault="007F1447" w:rsidP="007F1447">
      <w:pPr>
        <w:tabs>
          <w:tab w:val="decimal" w:pos="6237"/>
        </w:tabs>
        <w:rPr>
          <w:lang w:val="kl-GL"/>
        </w:rPr>
      </w:pPr>
      <w:r>
        <w:lastRenderedPageBreak/>
        <w:t xml:space="preserve">KTVI </w:t>
      </w:r>
      <w:proofErr w:type="spellStart"/>
      <w:r>
        <w:t>Kangaamiut</w:t>
      </w:r>
      <w:proofErr w:type="spellEnd"/>
      <w:r>
        <w:t xml:space="preserve"> GM for børn</w:t>
      </w:r>
      <w:r>
        <w:tab/>
        <w:t>20.000,00</w:t>
      </w:r>
    </w:p>
    <w:p w:rsidR="007F1447" w:rsidRPr="00490CE0" w:rsidRDefault="007F1447" w:rsidP="007F1447">
      <w:pPr>
        <w:tabs>
          <w:tab w:val="decimal" w:pos="6237"/>
        </w:tabs>
        <w:rPr>
          <w:lang w:val="kl-GL"/>
        </w:rPr>
      </w:pPr>
      <w:r>
        <w:t>AVI GM for børn</w:t>
      </w:r>
      <w:proofErr w:type="gramStart"/>
      <w:r>
        <w:tab/>
        <w:t xml:space="preserve">  20.000</w:t>
      </w:r>
      <w:proofErr w:type="gramEnd"/>
      <w:r>
        <w:t>,00</w:t>
      </w:r>
    </w:p>
    <w:p w:rsidR="007F1447" w:rsidRPr="00853F95" w:rsidRDefault="007F1447" w:rsidP="007F1447">
      <w:pPr>
        <w:tabs>
          <w:tab w:val="decimal" w:pos="6237"/>
        </w:tabs>
        <w:rPr>
          <w:lang w:val="kl-GL"/>
        </w:rPr>
      </w:pPr>
      <w:r>
        <w:t>KS-69 GM leje af bus</w:t>
      </w:r>
      <w:r>
        <w:tab/>
        <w:t>9.350,00</w:t>
      </w:r>
    </w:p>
    <w:p w:rsidR="007F1447" w:rsidRPr="006D4298" w:rsidRDefault="007F1447" w:rsidP="007F1447">
      <w:pPr>
        <w:tabs>
          <w:tab w:val="decimal" w:pos="6237"/>
        </w:tabs>
        <w:rPr>
          <w:lang w:val="kl-GL"/>
        </w:rPr>
      </w:pPr>
      <w:proofErr w:type="spellStart"/>
      <w:r>
        <w:t>Kâgssagssuk</w:t>
      </w:r>
      <w:proofErr w:type="spellEnd"/>
      <w:r>
        <w:t xml:space="preserve"> </w:t>
      </w:r>
      <w:proofErr w:type="spellStart"/>
      <w:r>
        <w:t>fútsal</w:t>
      </w:r>
      <w:proofErr w:type="spellEnd"/>
      <w:r>
        <w:t xml:space="preserve"> drenge U19</w:t>
      </w:r>
      <w:r>
        <w:tab/>
        <w:t>24.750,00</w:t>
      </w:r>
    </w:p>
    <w:p w:rsidR="007F1447" w:rsidRPr="00FF6E7E" w:rsidRDefault="007F1447" w:rsidP="007F1447">
      <w:pPr>
        <w:tabs>
          <w:tab w:val="decimal" w:pos="6237"/>
        </w:tabs>
        <w:rPr>
          <w:lang w:val="kl-GL"/>
        </w:rPr>
      </w:pPr>
      <w:r>
        <w:t>Håndboldskole 2019</w:t>
      </w:r>
      <w:r>
        <w:tab/>
        <w:t>48.205,00</w:t>
      </w:r>
    </w:p>
    <w:p w:rsidR="007F1447" w:rsidRPr="00FF6E7E" w:rsidRDefault="007F1447" w:rsidP="007F1447">
      <w:pPr>
        <w:tabs>
          <w:tab w:val="decimal" w:pos="6237"/>
        </w:tabs>
        <w:rPr>
          <w:u w:val="single"/>
          <w:lang w:val="kl-GL"/>
        </w:rPr>
      </w:pPr>
      <w:r>
        <w:rPr>
          <w:u w:val="single"/>
        </w:rPr>
        <w:t>NÛK UTOQQASAAT (OLDBOY)</w:t>
      </w:r>
      <w:r>
        <w:rPr>
          <w:u w:val="single"/>
        </w:rPr>
        <w:tab/>
        <w:t>5.000,00</w:t>
      </w:r>
    </w:p>
    <w:p w:rsidR="007F1447" w:rsidRPr="00490CE0" w:rsidRDefault="007F1447" w:rsidP="007F1447">
      <w:pPr>
        <w:tabs>
          <w:tab w:val="decimal" w:pos="6237"/>
        </w:tabs>
        <w:rPr>
          <w:u w:val="single"/>
          <w:lang w:val="kl-GL"/>
        </w:rPr>
      </w:pPr>
      <w:r>
        <w:rPr>
          <w:u w:val="single"/>
        </w:rPr>
        <w:tab/>
      </w:r>
      <w:r>
        <w:rPr>
          <w:u w:val="single"/>
        </w:rPr>
        <w:tab/>
        <w:t>481.987,50</w:t>
      </w:r>
    </w:p>
    <w:p w:rsidR="007F1447" w:rsidRPr="00490CE0" w:rsidRDefault="007F1447" w:rsidP="007F1447">
      <w:pPr>
        <w:tabs>
          <w:tab w:val="clear" w:pos="284"/>
        </w:tabs>
        <w:rPr>
          <w:lang w:val="kl-GL"/>
        </w:rPr>
      </w:pPr>
    </w:p>
    <w:p w:rsidR="007F1447" w:rsidRPr="00490CE0" w:rsidRDefault="007F1447" w:rsidP="007F1447">
      <w:pPr>
        <w:tabs>
          <w:tab w:val="clear" w:pos="284"/>
        </w:tabs>
        <w:rPr>
          <w:b/>
          <w:lang w:val="kl-GL"/>
        </w:rPr>
      </w:pPr>
      <w:r>
        <w:rPr>
          <w:b/>
        </w:rPr>
        <w:t>Indstilling:</w:t>
      </w:r>
    </w:p>
    <w:p w:rsidR="007F1447" w:rsidRPr="00490CE0" w:rsidRDefault="007F1447" w:rsidP="007F1447">
      <w:pPr>
        <w:tabs>
          <w:tab w:val="clear" w:pos="284"/>
        </w:tabs>
        <w:rPr>
          <w:lang w:val="kl-GL"/>
        </w:rPr>
      </w:pPr>
      <w:r>
        <w:t>Det indstilles til Uddannelse, at økonomirapporten for 3. kvartal 2019 tages til efterretning.</w:t>
      </w:r>
    </w:p>
    <w:p w:rsidR="007F1447" w:rsidRPr="00490CE0" w:rsidRDefault="007F1447" w:rsidP="007F1447">
      <w:pPr>
        <w:tabs>
          <w:tab w:val="clear" w:pos="284"/>
        </w:tabs>
        <w:rPr>
          <w:lang w:val="kl-GL"/>
        </w:rPr>
      </w:pPr>
    </w:p>
    <w:p w:rsidR="007F1447" w:rsidRPr="00490CE0" w:rsidRDefault="007F1447" w:rsidP="007F1447">
      <w:pPr>
        <w:tabs>
          <w:tab w:val="clear" w:pos="284"/>
        </w:tabs>
        <w:rPr>
          <w:lang w:val="kl-GL"/>
        </w:rPr>
      </w:pPr>
      <w:r>
        <w:rPr>
          <w:b/>
        </w:rPr>
        <w:t>Afgørelse:</w:t>
      </w:r>
    </w:p>
    <w:p w:rsidR="007F1447" w:rsidRDefault="007F1447" w:rsidP="007F1447">
      <w:pPr>
        <w:tabs>
          <w:tab w:val="clear" w:pos="284"/>
        </w:tabs>
        <w:rPr>
          <w:lang w:val="kl-GL"/>
        </w:rPr>
      </w:pPr>
    </w:p>
    <w:p w:rsidR="00AA07A2" w:rsidRPr="00AA07A2" w:rsidRDefault="00AA07A2" w:rsidP="00AA07A2">
      <w:pPr>
        <w:tabs>
          <w:tab w:val="clear" w:pos="284"/>
        </w:tabs>
        <w:spacing w:after="160"/>
        <w:contextualSpacing/>
        <w:jc w:val="both"/>
        <w:rPr>
          <w:rFonts w:eastAsiaTheme="minorHAnsi" w:cstheme="minorBidi"/>
          <w:b/>
          <w:szCs w:val="24"/>
          <w:lang w:eastAsia="en-US"/>
        </w:rPr>
      </w:pPr>
      <w:r w:rsidRPr="00AA07A2">
        <w:rPr>
          <w:rFonts w:ascii="Arial" w:hAnsi="Arial" w:cs="Arial"/>
          <w:szCs w:val="24"/>
        </w:rPr>
        <w:t>Taget til efterretning</w:t>
      </w:r>
    </w:p>
    <w:p w:rsidR="007F1447" w:rsidRPr="00490CE0" w:rsidRDefault="007F1447" w:rsidP="007F1447">
      <w:pPr>
        <w:tabs>
          <w:tab w:val="clear" w:pos="284"/>
        </w:tabs>
        <w:rPr>
          <w:lang w:val="kl-GL"/>
        </w:rPr>
      </w:pPr>
    </w:p>
    <w:p w:rsidR="007F1447" w:rsidRPr="00490CE0" w:rsidRDefault="007F1447" w:rsidP="007F1447">
      <w:pPr>
        <w:tabs>
          <w:tab w:val="clear" w:pos="284"/>
        </w:tabs>
        <w:rPr>
          <w:b/>
          <w:lang w:val="kl-GL"/>
        </w:rPr>
      </w:pPr>
      <w:r>
        <w:rPr>
          <w:b/>
        </w:rPr>
        <w:t>Bilag:</w:t>
      </w:r>
    </w:p>
    <w:p w:rsidR="007F1447" w:rsidRDefault="007F1447" w:rsidP="007F1447">
      <w:pPr>
        <w:numPr>
          <w:ilvl w:val="0"/>
          <w:numId w:val="1"/>
        </w:numPr>
        <w:tabs>
          <w:tab w:val="clear" w:pos="284"/>
        </w:tabs>
        <w:rPr>
          <w:lang w:val="kl-GL"/>
        </w:rPr>
      </w:pPr>
      <w:r>
        <w:t>Balance september 2019 for konto 3</w:t>
      </w:r>
    </w:p>
    <w:p w:rsidR="007F1447" w:rsidRPr="00D17773" w:rsidRDefault="007F1447" w:rsidP="007F1447">
      <w:pPr>
        <w:numPr>
          <w:ilvl w:val="0"/>
          <w:numId w:val="1"/>
        </w:numPr>
        <w:tabs>
          <w:tab w:val="clear" w:pos="284"/>
        </w:tabs>
        <w:rPr>
          <w:lang w:val="kl-GL"/>
        </w:rPr>
      </w:pPr>
      <w:r>
        <w:t>Balance september 2019 for konto 5</w:t>
      </w:r>
    </w:p>
    <w:p w:rsidR="008B2B2F" w:rsidRDefault="008B2B2F">
      <w:pPr>
        <w:tabs>
          <w:tab w:val="clear" w:pos="284"/>
        </w:tabs>
        <w:spacing w:after="160" w:line="259" w:lineRule="auto"/>
        <w:rPr>
          <w:b/>
          <w:lang w:bidi="da-DK"/>
        </w:rPr>
      </w:pPr>
      <w:r>
        <w:rPr>
          <w:b/>
          <w:lang w:bidi="da-DK"/>
        </w:rPr>
        <w:br w:type="page"/>
      </w:r>
    </w:p>
    <w:p w:rsidR="00CB6A14" w:rsidRDefault="00283E68" w:rsidP="00CB6A14">
      <w:pPr>
        <w:tabs>
          <w:tab w:val="clear" w:pos="284"/>
        </w:tabs>
        <w:spacing w:after="160" w:line="259" w:lineRule="auto"/>
        <w:rPr>
          <w:b/>
          <w:sz w:val="28"/>
          <w:szCs w:val="28"/>
          <w:u w:val="single"/>
        </w:rPr>
      </w:pPr>
      <w:r w:rsidRPr="000161CB">
        <w:rPr>
          <w:b/>
          <w:sz w:val="28"/>
          <w:szCs w:val="28"/>
          <w:u w:val="single"/>
        </w:rPr>
        <w:lastRenderedPageBreak/>
        <w:t>Generelle sager.</w:t>
      </w:r>
    </w:p>
    <w:p w:rsidR="00681BD7" w:rsidRPr="004A1FE1" w:rsidRDefault="00681BD7" w:rsidP="00681BD7">
      <w:pPr>
        <w:pStyle w:val="Punkt0"/>
        <w:tabs>
          <w:tab w:val="left" w:pos="-3544"/>
        </w:tabs>
        <w:spacing w:after="0"/>
        <w:rPr>
          <w:sz w:val="28"/>
          <w:szCs w:val="28"/>
          <w:u w:val="none"/>
        </w:rPr>
      </w:pPr>
      <w:r w:rsidRPr="004A1FE1">
        <w:rPr>
          <w:sz w:val="28"/>
          <w:szCs w:val="28"/>
          <w:u w:val="none"/>
        </w:rPr>
        <w:t>Punkt 04 Skolernes kvalitetsrapporter 2019</w:t>
      </w:r>
    </w:p>
    <w:p w:rsidR="00681BD7" w:rsidRDefault="00681BD7" w:rsidP="00681BD7">
      <w:pPr>
        <w:keepNext/>
        <w:tabs>
          <w:tab w:val="clear" w:pos="284"/>
        </w:tabs>
        <w:jc w:val="both"/>
        <w:outlineLvl w:val="1"/>
        <w:rPr>
          <w:i/>
        </w:rPr>
      </w:pPr>
      <w:proofErr w:type="spellStart"/>
      <w:r w:rsidRPr="00072F2F">
        <w:rPr>
          <w:i/>
        </w:rPr>
        <w:t>Journalnr</w:t>
      </w:r>
      <w:proofErr w:type="spellEnd"/>
      <w:r w:rsidRPr="00072F2F">
        <w:rPr>
          <w:i/>
        </w:rPr>
        <w:t>. 51.00</w:t>
      </w:r>
    </w:p>
    <w:p w:rsidR="00681BD7" w:rsidRPr="00072F2F" w:rsidRDefault="00681BD7" w:rsidP="00681BD7">
      <w:pPr>
        <w:keepNext/>
        <w:tabs>
          <w:tab w:val="clear" w:pos="284"/>
        </w:tabs>
        <w:jc w:val="both"/>
        <w:outlineLvl w:val="1"/>
        <w:rPr>
          <w:i/>
        </w:rPr>
      </w:pPr>
    </w:p>
    <w:p w:rsidR="00681BD7" w:rsidRPr="00072F2F" w:rsidRDefault="00681BD7" w:rsidP="00681BD7">
      <w:pPr>
        <w:keepNext/>
        <w:tabs>
          <w:tab w:val="clear" w:pos="284"/>
        </w:tabs>
        <w:outlineLvl w:val="2"/>
        <w:rPr>
          <w:u w:val="single"/>
        </w:rPr>
      </w:pPr>
      <w:r w:rsidRPr="00072F2F">
        <w:rPr>
          <w:u w:val="single"/>
        </w:rPr>
        <w:t>Baggrund</w:t>
      </w:r>
    </w:p>
    <w:p w:rsidR="00681BD7" w:rsidRPr="00072F2F" w:rsidRDefault="00681BD7" w:rsidP="00681BD7">
      <w:pPr>
        <w:tabs>
          <w:tab w:val="clear" w:pos="284"/>
        </w:tabs>
      </w:pPr>
      <w:r w:rsidRPr="00072F2F">
        <w:t xml:space="preserve">Med </w:t>
      </w:r>
      <w:hyperlink r:id="rId23" w:tgtFrame="_blank" w:history="1">
        <w:proofErr w:type="spellStart"/>
        <w:r w:rsidRPr="00072F2F">
          <w:t>Inatsisartutlov</w:t>
        </w:r>
        <w:proofErr w:type="spellEnd"/>
        <w:r w:rsidRPr="00072F2F">
          <w:t xml:space="preserve"> nr. 15 af 3. december 2012 om folkeskolen</w:t>
        </w:r>
      </w:hyperlink>
      <w:r w:rsidRPr="00072F2F">
        <w:t xml:space="preserve"> blev det et krav, at skolelederne skulle indsende en årlig kvalitetsrapport til kommunalbestyrelsen. Da departementet for uddannelse endnu ikke har udformet en skabelon til kvalitetsrapporten, har Qeqqata Kommunia selv udformet en skabelon, som skolelederne er blevet bedt om at udfylde.</w:t>
      </w:r>
    </w:p>
    <w:p w:rsidR="00681BD7" w:rsidRPr="00072F2F" w:rsidRDefault="00681BD7" w:rsidP="00681BD7">
      <w:pPr>
        <w:tabs>
          <w:tab w:val="clear" w:pos="284"/>
        </w:tabs>
      </w:pPr>
    </w:p>
    <w:p w:rsidR="00681BD7" w:rsidRPr="00072F2F" w:rsidRDefault="00681BD7" w:rsidP="00681BD7">
      <w:pPr>
        <w:keepNext/>
        <w:tabs>
          <w:tab w:val="clear" w:pos="284"/>
        </w:tabs>
        <w:outlineLvl w:val="2"/>
        <w:rPr>
          <w:u w:val="single"/>
        </w:rPr>
      </w:pPr>
      <w:r w:rsidRPr="00072F2F">
        <w:rPr>
          <w:u w:val="single"/>
        </w:rPr>
        <w:t xml:space="preserve">Regelgrundlag </w:t>
      </w:r>
    </w:p>
    <w:p w:rsidR="00681BD7" w:rsidRPr="00072F2F" w:rsidRDefault="00AA07A2" w:rsidP="00681BD7">
      <w:hyperlink r:id="rId24" w:tgtFrame="_blank" w:history="1">
        <w:proofErr w:type="spellStart"/>
        <w:r w:rsidR="00681BD7" w:rsidRPr="00072F2F">
          <w:t>Inatsisartutlov</w:t>
        </w:r>
        <w:proofErr w:type="spellEnd"/>
        <w:r w:rsidR="00681BD7" w:rsidRPr="00072F2F">
          <w:t xml:space="preserve"> nr. 15 af 3. december 2012 om folkeskolen</w:t>
        </w:r>
      </w:hyperlink>
      <w:r w:rsidR="00681BD7" w:rsidRPr="00072F2F">
        <w:t xml:space="preserve"> </w:t>
      </w:r>
    </w:p>
    <w:p w:rsidR="00681BD7" w:rsidRPr="00DA1106" w:rsidRDefault="00681BD7" w:rsidP="00681BD7">
      <w:r w:rsidRPr="00072F2F">
        <w:rPr>
          <w:b/>
          <w:bCs/>
        </w:rPr>
        <w:t xml:space="preserve">§ 49.  </w:t>
      </w:r>
      <w:r w:rsidRPr="00072F2F">
        <w:t>Skolens leder udarbejder en kvalitetsrapport, som indsendes til kommunalbestyrelsen inden den 1. oktober i det pågældende skoleår.</w:t>
      </w:r>
      <w:r w:rsidRPr="00072F2F">
        <w:br/>
      </w:r>
      <w:r w:rsidRPr="00072F2F">
        <w:rPr>
          <w:i/>
          <w:iCs/>
        </w:rPr>
        <w:t>Stk. 2.</w:t>
      </w:r>
      <w:r w:rsidRPr="00072F2F">
        <w:t xml:space="preserve">  Kvalitetsrapporten skal indeholde en redegørelse for det senest afsluttede skoleårs resultater af trintest, </w:t>
      </w:r>
      <w:r w:rsidRPr="00DA1106">
        <w:t>afgangsprøver, udarbejdelse af handleplaner, klassekvotienter, undervisningstid, sygefravær, vikartimer, omfang af vejledning i forhold til afgangselever om uddannelses- og erhvervsvalg og opfølgning på den foregående kvalitetsrapport.</w:t>
      </w:r>
    </w:p>
    <w:p w:rsidR="00681BD7" w:rsidRPr="00DA1106" w:rsidRDefault="00681BD7" w:rsidP="00681BD7"/>
    <w:p w:rsidR="00681BD7" w:rsidRPr="00DA1106" w:rsidRDefault="00681BD7" w:rsidP="00681BD7">
      <w:pPr>
        <w:keepNext/>
        <w:tabs>
          <w:tab w:val="clear" w:pos="284"/>
        </w:tabs>
        <w:outlineLvl w:val="2"/>
        <w:rPr>
          <w:u w:val="single"/>
        </w:rPr>
      </w:pPr>
      <w:r w:rsidRPr="00DA1106">
        <w:rPr>
          <w:u w:val="single"/>
        </w:rPr>
        <w:t>Faktiske forhold</w:t>
      </w:r>
    </w:p>
    <w:p w:rsidR="00681BD7" w:rsidRPr="00072F2F" w:rsidRDefault="00681BD7" w:rsidP="00681BD7">
      <w:pPr>
        <w:tabs>
          <w:tab w:val="clear" w:pos="284"/>
        </w:tabs>
      </w:pPr>
      <w:r w:rsidRPr="00DA1106">
        <w:t>Skolerne har fået som frist at de skal indsende kvalitetsrapporter inden 1. oktober. Administrationen har modtaget 9 kvalitetsrapporter. Dog blev 6 af disse afleveret efter fristen d. 1 oktober. har de Administrationen har de seneste år udarbejdet en samlet kvalitetsrapport for kommunens skoler, der kan bruges som ledelsesværktøj på folkeskoleområdet i det den kan skabe det nødvendige overblik for administrationen og politikerne</w:t>
      </w:r>
      <w:r w:rsidRPr="00072F2F">
        <w:t>. Den</w:t>
      </w:r>
      <w:r w:rsidRPr="00285B60">
        <w:t xml:space="preserve"> </w:t>
      </w:r>
      <w:r w:rsidRPr="00072F2F">
        <w:t xml:space="preserve">samlede kvalitetsrapport offentliggøres på kommunens </w:t>
      </w:r>
      <w:r w:rsidRPr="00285B60">
        <w:t>hjemmeside</w:t>
      </w:r>
      <w:r>
        <w:t>.</w:t>
      </w:r>
    </w:p>
    <w:p w:rsidR="00681BD7" w:rsidRDefault="00681BD7" w:rsidP="00681BD7">
      <w:pPr>
        <w:tabs>
          <w:tab w:val="clear" w:pos="284"/>
        </w:tabs>
        <w:rPr>
          <w:sz w:val="23"/>
          <w:szCs w:val="23"/>
        </w:rPr>
      </w:pPr>
      <w:r w:rsidRPr="00072F2F">
        <w:rPr>
          <w:sz w:val="23"/>
          <w:szCs w:val="23"/>
        </w:rPr>
        <w:t>Kvalitetsrapporterne skal bruges som udgangspunkt for kommunalbestyrelsens tilsyn med folkeskolerne. Derfor skal Kvalitetsrapporterne anvendes i forbindelse med kommunalbestyrelsens årlige tilsynsbesøg og den videre drøftelse</w:t>
      </w:r>
      <w:r>
        <w:rPr>
          <w:sz w:val="23"/>
          <w:szCs w:val="23"/>
        </w:rPr>
        <w:t xml:space="preserve"> mellem </w:t>
      </w:r>
      <w:r w:rsidRPr="0042788F">
        <w:rPr>
          <w:sz w:val="23"/>
          <w:szCs w:val="23"/>
        </w:rPr>
        <w:t xml:space="preserve">skolebestyrelser og Uddannelsesudvalget (jf. </w:t>
      </w:r>
      <w:r w:rsidRPr="00072F2F">
        <w:rPr>
          <w:sz w:val="23"/>
          <w:szCs w:val="23"/>
        </w:rPr>
        <w:t>kommunikations- og tilsynsplan).</w:t>
      </w:r>
    </w:p>
    <w:p w:rsidR="00681BD7" w:rsidRDefault="00681BD7" w:rsidP="00681BD7">
      <w:pPr>
        <w:tabs>
          <w:tab w:val="clear" w:pos="284"/>
        </w:tabs>
        <w:rPr>
          <w:sz w:val="23"/>
          <w:szCs w:val="23"/>
        </w:rPr>
      </w:pPr>
    </w:p>
    <w:p w:rsidR="00681BD7" w:rsidRPr="00151C03" w:rsidRDefault="00681BD7" w:rsidP="00681BD7">
      <w:pPr>
        <w:tabs>
          <w:tab w:val="clear" w:pos="284"/>
        </w:tabs>
        <w:rPr>
          <w:sz w:val="23"/>
          <w:szCs w:val="23"/>
          <w:u w:val="single"/>
        </w:rPr>
      </w:pPr>
      <w:r w:rsidRPr="00151C03">
        <w:rPr>
          <w:sz w:val="23"/>
          <w:szCs w:val="23"/>
          <w:u w:val="single"/>
        </w:rPr>
        <w:t>Bæredygtige konsekvenser</w:t>
      </w:r>
    </w:p>
    <w:p w:rsidR="00681BD7" w:rsidRPr="00151C03" w:rsidRDefault="00681BD7" w:rsidP="00681BD7">
      <w:pPr>
        <w:keepNext/>
        <w:tabs>
          <w:tab w:val="clear" w:pos="284"/>
        </w:tabs>
        <w:outlineLvl w:val="2"/>
      </w:pPr>
      <w:r w:rsidRPr="00151C03">
        <w:t xml:space="preserve">Kvalitetsrapporterne er med til at skabe synlighed omkring skolernes arbejde, hvilket er noget man har arbejdet med som indsatsområde inden for folkeskolen siden kommunalbestyrelsen besluttede at synlighed skulle være et indsatsområde for folkeskolen. Kvalitetsrapporterne bruges som redskab i kommunens tilsyn med skolerne. Ved at synliggøre resultaterne på de enkelte skoler gives der mulighed for aktivt at tilpasse aktiviteterne efter at forbedre særlige områder eller resultater. </w:t>
      </w:r>
    </w:p>
    <w:p w:rsidR="00681BD7" w:rsidRPr="00151C03" w:rsidRDefault="00681BD7" w:rsidP="00681BD7">
      <w:pPr>
        <w:keepNext/>
        <w:tabs>
          <w:tab w:val="clear" w:pos="284"/>
        </w:tabs>
        <w:outlineLvl w:val="2"/>
        <w:rPr>
          <w:u w:val="single"/>
        </w:rPr>
      </w:pPr>
      <w:r w:rsidRPr="00151C03">
        <w:rPr>
          <w:u w:val="single"/>
        </w:rPr>
        <w:t>Økonomiske og administrative konsekvenser</w:t>
      </w:r>
    </w:p>
    <w:p w:rsidR="00681BD7" w:rsidRPr="00151C03" w:rsidRDefault="00681BD7" w:rsidP="00681BD7">
      <w:pPr>
        <w:tabs>
          <w:tab w:val="clear" w:pos="284"/>
        </w:tabs>
      </w:pPr>
      <w:r w:rsidRPr="00151C03">
        <w:t xml:space="preserve">Ingen </w:t>
      </w:r>
    </w:p>
    <w:p w:rsidR="00681BD7" w:rsidRPr="00151C03" w:rsidRDefault="00681BD7" w:rsidP="00681BD7">
      <w:pPr>
        <w:tabs>
          <w:tab w:val="clear" w:pos="284"/>
        </w:tabs>
      </w:pPr>
    </w:p>
    <w:p w:rsidR="00681BD7" w:rsidRPr="00151C03" w:rsidRDefault="00681BD7" w:rsidP="00681BD7">
      <w:pPr>
        <w:keepNext/>
        <w:tabs>
          <w:tab w:val="clear" w:pos="284"/>
        </w:tabs>
        <w:outlineLvl w:val="2"/>
        <w:rPr>
          <w:u w:val="single"/>
        </w:rPr>
      </w:pPr>
      <w:r w:rsidRPr="00151C03">
        <w:rPr>
          <w:u w:val="single"/>
        </w:rPr>
        <w:t>Administrationens vurdering</w:t>
      </w:r>
    </w:p>
    <w:p w:rsidR="00681BD7" w:rsidRPr="00151C03" w:rsidRDefault="00681BD7" w:rsidP="00681BD7">
      <w:pPr>
        <w:rPr>
          <w:rFonts w:eastAsia="MS Gothic"/>
        </w:rPr>
      </w:pPr>
      <w:bookmarkStart w:id="1" w:name="_Toc23240039"/>
      <w:bookmarkStart w:id="2" w:name="_Toc23240069"/>
      <w:r w:rsidRPr="00151C03">
        <w:rPr>
          <w:rFonts w:eastAsia="MS Gothic"/>
        </w:rPr>
        <w:t>Administrationen har samlet data fra skolernes kvalitetsrapporter i en fælles kvalitetsrapport, de vigtigste pointer findes dog i følgene Opsamling på kvalitetsrapport</w:t>
      </w:r>
      <w:bookmarkEnd w:id="1"/>
      <w:bookmarkEnd w:id="2"/>
      <w:r w:rsidRPr="00151C03">
        <w:rPr>
          <w:rFonts w:eastAsia="MS Gothic"/>
        </w:rPr>
        <w:t>:</w:t>
      </w:r>
    </w:p>
    <w:p w:rsidR="00681BD7" w:rsidRPr="00151C03" w:rsidRDefault="00681BD7" w:rsidP="00681BD7">
      <w:pPr>
        <w:rPr>
          <w:rFonts w:eastAsia="MS Mincho"/>
          <w:sz w:val="22"/>
          <w:szCs w:val="24"/>
        </w:rPr>
      </w:pPr>
    </w:p>
    <w:p w:rsidR="00681BD7" w:rsidRPr="00151C03" w:rsidRDefault="00681BD7" w:rsidP="00681BD7">
      <w:pPr>
        <w:rPr>
          <w:rFonts w:eastAsia="MS Gothic"/>
          <w:sz w:val="26"/>
          <w:szCs w:val="26"/>
        </w:rPr>
      </w:pPr>
      <w:bookmarkStart w:id="3" w:name="_Toc23240040"/>
      <w:bookmarkStart w:id="4" w:name="_Toc23240070"/>
      <w:r w:rsidRPr="00151C03">
        <w:rPr>
          <w:rFonts w:eastAsia="MS Gothic"/>
          <w:sz w:val="26"/>
          <w:szCs w:val="26"/>
        </w:rPr>
        <w:t>Resultater trintest</w:t>
      </w:r>
      <w:bookmarkEnd w:id="3"/>
      <w:bookmarkEnd w:id="4"/>
    </w:p>
    <w:p w:rsidR="00681BD7" w:rsidRPr="00151C03" w:rsidRDefault="00681BD7" w:rsidP="00681BD7">
      <w:pPr>
        <w:rPr>
          <w:rFonts w:eastAsia="MS Mincho"/>
          <w:sz w:val="22"/>
          <w:szCs w:val="24"/>
        </w:rPr>
      </w:pPr>
      <w:r w:rsidRPr="00151C03">
        <w:rPr>
          <w:rFonts w:eastAsia="MS Mincho"/>
          <w:sz w:val="22"/>
          <w:szCs w:val="24"/>
        </w:rPr>
        <w:t xml:space="preserve">I grønlandsk ligger vi over i landsgennemsnittet på </w:t>
      </w:r>
      <w:proofErr w:type="spellStart"/>
      <w:r w:rsidRPr="00151C03">
        <w:rPr>
          <w:rFonts w:eastAsia="MS Mincho"/>
          <w:sz w:val="22"/>
          <w:szCs w:val="24"/>
        </w:rPr>
        <w:t>Kilaaseeraq</w:t>
      </w:r>
      <w:proofErr w:type="spellEnd"/>
      <w:r w:rsidRPr="00151C03">
        <w:rPr>
          <w:rFonts w:eastAsia="MS Mincho"/>
          <w:sz w:val="22"/>
          <w:szCs w:val="24"/>
        </w:rPr>
        <w:t xml:space="preserve"> og </w:t>
      </w:r>
      <w:proofErr w:type="spellStart"/>
      <w:r w:rsidRPr="00151C03">
        <w:rPr>
          <w:rFonts w:eastAsia="MS Mincho"/>
          <w:sz w:val="22"/>
          <w:szCs w:val="24"/>
        </w:rPr>
        <w:t>Atammik</w:t>
      </w:r>
      <w:proofErr w:type="spellEnd"/>
      <w:r w:rsidRPr="00151C03">
        <w:rPr>
          <w:rFonts w:eastAsia="MS Mincho"/>
          <w:sz w:val="22"/>
          <w:szCs w:val="24"/>
        </w:rPr>
        <w:t xml:space="preserve">, og på landsgennemsnittet i 7. klasse på Nalunnguarfiup og </w:t>
      </w:r>
      <w:proofErr w:type="spellStart"/>
      <w:r w:rsidRPr="00151C03">
        <w:rPr>
          <w:rFonts w:eastAsia="MS Mincho"/>
          <w:sz w:val="22"/>
          <w:szCs w:val="24"/>
        </w:rPr>
        <w:t>Qinnguata</w:t>
      </w:r>
      <w:proofErr w:type="spellEnd"/>
      <w:r w:rsidRPr="00151C03">
        <w:rPr>
          <w:rFonts w:eastAsia="MS Mincho"/>
          <w:sz w:val="22"/>
          <w:szCs w:val="24"/>
        </w:rPr>
        <w:t>, men under landsgennemsnittet på Minngortuunnguup i både 3. og 7 klasse.</w:t>
      </w:r>
    </w:p>
    <w:p w:rsidR="00681BD7" w:rsidRPr="00151C03" w:rsidRDefault="00681BD7" w:rsidP="00681BD7">
      <w:pPr>
        <w:rPr>
          <w:rFonts w:eastAsia="MS Mincho"/>
          <w:sz w:val="22"/>
          <w:szCs w:val="24"/>
        </w:rPr>
      </w:pPr>
      <w:r w:rsidRPr="00151C03">
        <w:rPr>
          <w:rFonts w:eastAsia="MS Mincho"/>
          <w:sz w:val="22"/>
          <w:szCs w:val="24"/>
        </w:rPr>
        <w:lastRenderedPageBreak/>
        <w:t xml:space="preserve">I dansk ligger alle skoler over landsgennemsnittet undtagen på </w:t>
      </w:r>
      <w:proofErr w:type="spellStart"/>
      <w:r w:rsidRPr="00151C03">
        <w:rPr>
          <w:rFonts w:eastAsia="MS Mincho"/>
          <w:sz w:val="22"/>
          <w:szCs w:val="24"/>
        </w:rPr>
        <w:t>Kilaaseeraq</w:t>
      </w:r>
      <w:proofErr w:type="spellEnd"/>
      <w:r w:rsidRPr="00151C03">
        <w:rPr>
          <w:rFonts w:eastAsia="MS Mincho"/>
          <w:sz w:val="22"/>
          <w:szCs w:val="24"/>
        </w:rPr>
        <w:t xml:space="preserve">. </w:t>
      </w:r>
    </w:p>
    <w:p w:rsidR="00681BD7" w:rsidRPr="00151C03" w:rsidRDefault="00681BD7" w:rsidP="00681BD7">
      <w:pPr>
        <w:rPr>
          <w:rFonts w:eastAsia="MS Mincho"/>
          <w:sz w:val="22"/>
          <w:szCs w:val="24"/>
        </w:rPr>
      </w:pPr>
      <w:r w:rsidRPr="00151C03">
        <w:rPr>
          <w:rFonts w:eastAsia="MS Mincho"/>
          <w:sz w:val="22"/>
          <w:szCs w:val="24"/>
        </w:rPr>
        <w:t xml:space="preserve">I matematik ligger alle skoler over landsgennemsnittet i 3. klasse undtagen i </w:t>
      </w:r>
      <w:proofErr w:type="spellStart"/>
      <w:r w:rsidRPr="00151C03">
        <w:rPr>
          <w:rFonts w:eastAsia="MS Mincho"/>
          <w:sz w:val="22"/>
          <w:szCs w:val="24"/>
        </w:rPr>
        <w:t>Atammik</w:t>
      </w:r>
      <w:proofErr w:type="spellEnd"/>
      <w:r w:rsidRPr="00151C03">
        <w:rPr>
          <w:rFonts w:eastAsia="MS Mincho"/>
          <w:sz w:val="22"/>
          <w:szCs w:val="24"/>
        </w:rPr>
        <w:t xml:space="preserve"> og på landsgennemsnittet i 7. klasse i </w:t>
      </w:r>
      <w:proofErr w:type="spellStart"/>
      <w:r w:rsidRPr="00151C03">
        <w:rPr>
          <w:rFonts w:eastAsia="MS Mincho"/>
          <w:sz w:val="22"/>
          <w:szCs w:val="24"/>
        </w:rPr>
        <w:t>Kilaaseeraq</w:t>
      </w:r>
      <w:proofErr w:type="spellEnd"/>
      <w:r w:rsidRPr="00151C03">
        <w:rPr>
          <w:rFonts w:eastAsia="MS Mincho"/>
          <w:sz w:val="22"/>
          <w:szCs w:val="24"/>
        </w:rPr>
        <w:t xml:space="preserve"> og over landsgennemsnittet i matematik i 7. klasse på </w:t>
      </w:r>
      <w:proofErr w:type="spellStart"/>
      <w:r w:rsidRPr="00151C03">
        <w:rPr>
          <w:rFonts w:eastAsia="MS Mincho"/>
          <w:sz w:val="22"/>
          <w:szCs w:val="24"/>
        </w:rPr>
        <w:t>Qinnguata</w:t>
      </w:r>
      <w:proofErr w:type="spellEnd"/>
      <w:r w:rsidRPr="00151C03">
        <w:rPr>
          <w:rFonts w:eastAsia="MS Mincho"/>
          <w:sz w:val="22"/>
          <w:szCs w:val="24"/>
        </w:rPr>
        <w:t xml:space="preserve"> og Nalunnguarfiup Atuarfia.</w:t>
      </w:r>
    </w:p>
    <w:p w:rsidR="00681BD7" w:rsidRPr="00151C03" w:rsidRDefault="00681BD7" w:rsidP="00681BD7">
      <w:pPr>
        <w:rPr>
          <w:rFonts w:eastAsia="MS Mincho"/>
          <w:sz w:val="22"/>
          <w:szCs w:val="24"/>
        </w:rPr>
      </w:pPr>
      <w:r w:rsidRPr="00151C03">
        <w:rPr>
          <w:rFonts w:eastAsia="MS Mincho"/>
          <w:sz w:val="22"/>
          <w:szCs w:val="24"/>
        </w:rPr>
        <w:t xml:space="preserve">I engelsk ligger man over landsgennemsnittet på </w:t>
      </w:r>
      <w:proofErr w:type="spellStart"/>
      <w:r w:rsidRPr="00151C03">
        <w:rPr>
          <w:rFonts w:eastAsia="MS Mincho"/>
          <w:sz w:val="22"/>
          <w:szCs w:val="24"/>
        </w:rPr>
        <w:t>Kilaaseeraq</w:t>
      </w:r>
      <w:proofErr w:type="spellEnd"/>
      <w:r w:rsidRPr="00151C03">
        <w:rPr>
          <w:rFonts w:eastAsia="MS Mincho"/>
          <w:sz w:val="22"/>
          <w:szCs w:val="24"/>
        </w:rPr>
        <w:t xml:space="preserve">, Nalunnguarfiup og </w:t>
      </w:r>
      <w:proofErr w:type="spellStart"/>
      <w:r w:rsidRPr="00151C03">
        <w:rPr>
          <w:rFonts w:eastAsia="MS Mincho"/>
          <w:sz w:val="22"/>
          <w:szCs w:val="24"/>
        </w:rPr>
        <w:t>Qinnguata</w:t>
      </w:r>
      <w:proofErr w:type="spellEnd"/>
      <w:r w:rsidRPr="00151C03">
        <w:rPr>
          <w:rFonts w:eastAsia="MS Mincho"/>
          <w:sz w:val="22"/>
          <w:szCs w:val="24"/>
        </w:rPr>
        <w:t>, men under på Minngortuunnguup Atuarfia.</w:t>
      </w:r>
    </w:p>
    <w:p w:rsidR="00681BD7" w:rsidRPr="00151C03" w:rsidRDefault="00681BD7" w:rsidP="00681BD7">
      <w:pPr>
        <w:rPr>
          <w:rFonts w:eastAsia="MS Mincho"/>
          <w:sz w:val="22"/>
          <w:szCs w:val="24"/>
        </w:rPr>
      </w:pPr>
      <w:r w:rsidRPr="00151C03">
        <w:rPr>
          <w:rFonts w:eastAsia="MS Mincho"/>
          <w:sz w:val="22"/>
          <w:szCs w:val="24"/>
        </w:rPr>
        <w:t xml:space="preserve">På flere skoler klarer vi os rigtig godt i trintestene, særligt </w:t>
      </w:r>
      <w:proofErr w:type="spellStart"/>
      <w:r w:rsidRPr="00151C03">
        <w:rPr>
          <w:rFonts w:eastAsia="MS Mincho"/>
          <w:sz w:val="22"/>
          <w:szCs w:val="24"/>
        </w:rPr>
        <w:t>Qinnguata</w:t>
      </w:r>
      <w:proofErr w:type="spellEnd"/>
      <w:r w:rsidRPr="00151C03">
        <w:rPr>
          <w:rFonts w:eastAsia="MS Mincho"/>
          <w:sz w:val="22"/>
          <w:szCs w:val="24"/>
        </w:rPr>
        <w:t xml:space="preserve"> Atuarfia, der ligger over i alle fag og flere fag langt over landsgennemsnittet. På Nalunnguarfiup ligger man over i alle fag og på landsgennemsnittet i grønlandsk i 7. klasse. Disse 2 skoler har altså klaret sig generelt godt i alle fag.</w:t>
      </w:r>
    </w:p>
    <w:p w:rsidR="00681BD7" w:rsidRPr="00151C03" w:rsidRDefault="00681BD7" w:rsidP="00681BD7">
      <w:pPr>
        <w:rPr>
          <w:rFonts w:eastAsia="MS Mincho"/>
          <w:sz w:val="22"/>
          <w:szCs w:val="24"/>
        </w:rPr>
      </w:pPr>
      <w:r w:rsidRPr="00151C03">
        <w:rPr>
          <w:rFonts w:eastAsia="MS Mincho"/>
          <w:sz w:val="22"/>
          <w:szCs w:val="24"/>
        </w:rPr>
        <w:t>Vi ser altså at kommunen klarer sig godt på trintestene generelt, hvor vi ligger over landsgennemsnittet i flere fag, men særligt i dansk og engelsk.</w:t>
      </w:r>
    </w:p>
    <w:p w:rsidR="00681BD7" w:rsidRPr="00151C03" w:rsidRDefault="00681BD7" w:rsidP="00681BD7">
      <w:pPr>
        <w:rPr>
          <w:rFonts w:eastAsia="MS Mincho"/>
          <w:sz w:val="22"/>
          <w:szCs w:val="24"/>
        </w:rPr>
      </w:pPr>
    </w:p>
    <w:p w:rsidR="00681BD7" w:rsidRPr="00151C03" w:rsidRDefault="00681BD7" w:rsidP="00681BD7">
      <w:pPr>
        <w:rPr>
          <w:rFonts w:eastAsia="MS Gothic"/>
          <w:sz w:val="26"/>
          <w:szCs w:val="26"/>
        </w:rPr>
      </w:pPr>
      <w:bookmarkStart w:id="5" w:name="_Toc23240041"/>
      <w:bookmarkStart w:id="6" w:name="_Toc23240071"/>
      <w:r w:rsidRPr="00151C03">
        <w:rPr>
          <w:rFonts w:eastAsia="MS Gothic"/>
          <w:sz w:val="26"/>
          <w:szCs w:val="26"/>
        </w:rPr>
        <w:t>Afgangsresultater</w:t>
      </w:r>
      <w:bookmarkEnd w:id="5"/>
      <w:bookmarkEnd w:id="6"/>
    </w:p>
    <w:p w:rsidR="00681BD7" w:rsidRPr="00151C03" w:rsidRDefault="00681BD7" w:rsidP="00681BD7">
      <w:pPr>
        <w:rPr>
          <w:rFonts w:eastAsia="MS Mincho"/>
          <w:sz w:val="22"/>
          <w:szCs w:val="24"/>
        </w:rPr>
      </w:pPr>
      <w:r w:rsidRPr="00151C03">
        <w:rPr>
          <w:rFonts w:eastAsia="MS Mincho"/>
          <w:sz w:val="22"/>
          <w:szCs w:val="24"/>
        </w:rPr>
        <w:t>I grønlandsk ligger vi over landsgennemsnit på AK og MA, men under på NA. På QA ligger vi under landsgennemsnit i skriftlig men over i mundtlig og færdighed</w:t>
      </w:r>
    </w:p>
    <w:p w:rsidR="00681BD7" w:rsidRPr="00151C03" w:rsidRDefault="00681BD7" w:rsidP="00681BD7">
      <w:pPr>
        <w:rPr>
          <w:rFonts w:eastAsia="MS Mincho"/>
          <w:sz w:val="22"/>
          <w:szCs w:val="24"/>
        </w:rPr>
      </w:pPr>
      <w:r w:rsidRPr="00151C03">
        <w:rPr>
          <w:rFonts w:eastAsia="MS Mincho"/>
          <w:sz w:val="22"/>
          <w:szCs w:val="24"/>
        </w:rPr>
        <w:t xml:space="preserve">I dansk ligger vi over landsgennemsnit på MA, NA samt skriftlig på </w:t>
      </w:r>
      <w:proofErr w:type="spellStart"/>
      <w:r w:rsidRPr="00151C03">
        <w:rPr>
          <w:rFonts w:eastAsia="MS Mincho"/>
          <w:sz w:val="22"/>
          <w:szCs w:val="24"/>
        </w:rPr>
        <w:t>Qinnguata</w:t>
      </w:r>
      <w:proofErr w:type="spellEnd"/>
      <w:r w:rsidRPr="00151C03">
        <w:rPr>
          <w:rFonts w:eastAsia="MS Mincho"/>
          <w:sz w:val="22"/>
          <w:szCs w:val="24"/>
        </w:rPr>
        <w:t>. På AK ligger man under landsgennemsnittet i alle 3 prøver i dansk.</w:t>
      </w:r>
    </w:p>
    <w:p w:rsidR="00681BD7" w:rsidRPr="00151C03" w:rsidRDefault="00681BD7" w:rsidP="00681BD7">
      <w:pPr>
        <w:rPr>
          <w:rFonts w:eastAsia="MS Mincho"/>
          <w:sz w:val="22"/>
          <w:szCs w:val="24"/>
        </w:rPr>
      </w:pPr>
      <w:r w:rsidRPr="00151C03">
        <w:rPr>
          <w:rFonts w:eastAsia="MS Mincho"/>
          <w:sz w:val="22"/>
          <w:szCs w:val="24"/>
        </w:rPr>
        <w:t>I matematik ligger vi over landsgennemsnittet på MA og QA. På Ak ligger vi under landsgennemsnit i skriftlig men over i mundtlig og færdigheds. På NA ligger vi over landsgennemsnit på skriftlig men under på Mundtlig og færdigheds.</w:t>
      </w:r>
    </w:p>
    <w:p w:rsidR="00681BD7" w:rsidRPr="00151C03" w:rsidRDefault="00681BD7" w:rsidP="00681BD7">
      <w:pPr>
        <w:rPr>
          <w:rFonts w:eastAsia="MS Mincho"/>
          <w:sz w:val="22"/>
          <w:szCs w:val="24"/>
        </w:rPr>
      </w:pPr>
      <w:r w:rsidRPr="00151C03">
        <w:rPr>
          <w:rFonts w:eastAsia="MS Mincho"/>
          <w:sz w:val="22"/>
          <w:szCs w:val="24"/>
        </w:rPr>
        <w:t xml:space="preserve">I engelsk ligger vi over landsgennemsnit på MA og NA. PÅ QA ligger vi under landsgennemsnit i skriftlig og over i færdighed. På </w:t>
      </w:r>
      <w:proofErr w:type="spellStart"/>
      <w:r w:rsidRPr="00151C03">
        <w:rPr>
          <w:rFonts w:eastAsia="MS Mincho"/>
          <w:sz w:val="22"/>
          <w:szCs w:val="24"/>
        </w:rPr>
        <w:t>Kilaaseeraq</w:t>
      </w:r>
      <w:proofErr w:type="spellEnd"/>
      <w:r w:rsidRPr="00151C03">
        <w:rPr>
          <w:rFonts w:eastAsia="MS Mincho"/>
          <w:sz w:val="22"/>
          <w:szCs w:val="24"/>
        </w:rPr>
        <w:t xml:space="preserve"> ligger vi under landsgennemsnit i både skriftlig og færdighed.</w:t>
      </w:r>
    </w:p>
    <w:p w:rsidR="00681BD7" w:rsidRPr="00151C03" w:rsidRDefault="00681BD7" w:rsidP="00681BD7">
      <w:pPr>
        <w:rPr>
          <w:rFonts w:eastAsia="MS Mincho"/>
          <w:sz w:val="22"/>
          <w:szCs w:val="24"/>
        </w:rPr>
      </w:pPr>
      <w:r w:rsidRPr="00151C03">
        <w:rPr>
          <w:rFonts w:eastAsia="MS Mincho"/>
          <w:sz w:val="22"/>
          <w:szCs w:val="24"/>
        </w:rPr>
        <w:t>I projektopgaven ligger vi over landsgennemsnittet på MA, AK men under på QA og NA.</w:t>
      </w:r>
    </w:p>
    <w:p w:rsidR="00681BD7" w:rsidRPr="00151C03" w:rsidRDefault="00681BD7" w:rsidP="00681BD7">
      <w:pPr>
        <w:rPr>
          <w:rFonts w:eastAsia="MS Mincho"/>
          <w:sz w:val="22"/>
          <w:szCs w:val="24"/>
        </w:rPr>
      </w:pPr>
      <w:r w:rsidRPr="00151C03">
        <w:rPr>
          <w:rFonts w:eastAsia="MS Mincho"/>
          <w:sz w:val="22"/>
          <w:szCs w:val="24"/>
        </w:rPr>
        <w:t xml:space="preserve">I afgangseksamenerne ligger kommunen generelt godt. Det gælder særligt for fagene grønlandsk, matematik og engelsk. Der er dog forskel på enkelte skoler i forskellige fag. MA har klaret sig virkelig godt i år og ligger over landsgennemsnittet i alle fag. </w:t>
      </w:r>
    </w:p>
    <w:p w:rsidR="00681BD7" w:rsidRPr="00151C03" w:rsidRDefault="00681BD7" w:rsidP="00681BD7">
      <w:pPr>
        <w:rPr>
          <w:rFonts w:eastAsia="MS Mincho"/>
          <w:sz w:val="22"/>
          <w:szCs w:val="24"/>
        </w:rPr>
      </w:pPr>
    </w:p>
    <w:p w:rsidR="00681BD7" w:rsidRPr="00151C03" w:rsidRDefault="00681BD7" w:rsidP="00681BD7">
      <w:pPr>
        <w:rPr>
          <w:rFonts w:eastAsia="MS Gothic"/>
          <w:sz w:val="26"/>
          <w:szCs w:val="26"/>
        </w:rPr>
      </w:pPr>
      <w:bookmarkStart w:id="7" w:name="_Toc23240042"/>
      <w:bookmarkStart w:id="8" w:name="_Toc23240072"/>
      <w:r w:rsidRPr="00151C03">
        <w:rPr>
          <w:rFonts w:eastAsia="MS Gothic"/>
          <w:sz w:val="26"/>
          <w:szCs w:val="26"/>
        </w:rPr>
        <w:t>Afgangsresultater i kommunen set i forhold til landsresultater:</w:t>
      </w:r>
      <w:bookmarkEnd w:id="7"/>
      <w:bookmarkEnd w:id="8"/>
    </w:p>
    <w:p w:rsidR="00681BD7" w:rsidRPr="00151C03" w:rsidRDefault="00681BD7" w:rsidP="00681BD7">
      <w:pPr>
        <w:rPr>
          <w:rFonts w:eastAsia="MS Mincho"/>
          <w:sz w:val="22"/>
          <w:szCs w:val="24"/>
        </w:rPr>
      </w:pPr>
      <w:r w:rsidRPr="00151C03">
        <w:rPr>
          <w:rFonts w:eastAsia="MS Mincho"/>
          <w:sz w:val="22"/>
          <w:szCs w:val="24"/>
        </w:rPr>
        <w:t xml:space="preserve">Hvis man sammenligner de 5 kommuners resultater ligger Qeqqata Kommunia næsthøjest i Dansk skriftlig og mundtlig og højest i engelsk skriftlig og mundtlig, hvilket viser at de indsatser kommunen har haft inden for styrkelse af sprog særligt engelsk fra </w:t>
      </w:r>
      <w:proofErr w:type="spellStart"/>
      <w:r w:rsidRPr="00151C03">
        <w:rPr>
          <w:rFonts w:eastAsia="MS Mincho"/>
          <w:sz w:val="22"/>
          <w:szCs w:val="24"/>
        </w:rPr>
        <w:t>yngstetrin</w:t>
      </w:r>
      <w:proofErr w:type="spellEnd"/>
      <w:r w:rsidRPr="00151C03">
        <w:rPr>
          <w:rFonts w:eastAsia="MS Mincho"/>
          <w:sz w:val="22"/>
          <w:szCs w:val="24"/>
        </w:rPr>
        <w:t xml:space="preserve"> kan ses afspejlet i karakterne.</w:t>
      </w:r>
    </w:p>
    <w:p w:rsidR="00681BD7" w:rsidRPr="00151C03" w:rsidRDefault="00681BD7" w:rsidP="00681BD7">
      <w:pPr>
        <w:rPr>
          <w:rFonts w:eastAsia="MS Mincho"/>
          <w:sz w:val="22"/>
          <w:szCs w:val="24"/>
        </w:rPr>
      </w:pPr>
      <w:r w:rsidRPr="00151C03">
        <w:rPr>
          <w:rFonts w:eastAsia="MS Mincho"/>
          <w:sz w:val="22"/>
          <w:szCs w:val="24"/>
        </w:rPr>
        <w:t>I projektopgaven ligger Qeqqata Kommunia højest af alle 5 kommuner, det samme gælder for matematik skriftlig, mens vi i matematik og grønlandsk skriftlig ligger i midten, mens grønlandsk mundtlig ligger næsthøjest.</w:t>
      </w:r>
    </w:p>
    <w:p w:rsidR="00681BD7" w:rsidRPr="00151C03" w:rsidRDefault="00681BD7" w:rsidP="00681BD7">
      <w:pPr>
        <w:rPr>
          <w:rFonts w:eastAsia="MS Mincho"/>
          <w:sz w:val="22"/>
          <w:szCs w:val="24"/>
        </w:rPr>
      </w:pPr>
      <w:r w:rsidRPr="00151C03">
        <w:rPr>
          <w:rFonts w:eastAsia="MS Mincho"/>
          <w:sz w:val="22"/>
          <w:szCs w:val="24"/>
        </w:rPr>
        <w:t xml:space="preserve">Generelt set ligger kommunen altså højt i resultaterne af afgangseksamenerne set i forhold til resten af landet.     </w:t>
      </w:r>
    </w:p>
    <w:p w:rsidR="00681BD7" w:rsidRPr="00151C03" w:rsidRDefault="00681BD7" w:rsidP="00681BD7">
      <w:pPr>
        <w:rPr>
          <w:rFonts w:eastAsia="MS Mincho"/>
          <w:sz w:val="22"/>
          <w:szCs w:val="24"/>
        </w:rPr>
      </w:pPr>
    </w:p>
    <w:p w:rsidR="00681BD7" w:rsidRPr="00151C03" w:rsidRDefault="00681BD7" w:rsidP="00681BD7">
      <w:pPr>
        <w:rPr>
          <w:rFonts w:eastAsia="MS Gothic"/>
          <w:sz w:val="26"/>
          <w:szCs w:val="26"/>
        </w:rPr>
      </w:pPr>
      <w:bookmarkStart w:id="9" w:name="_Toc23240043"/>
      <w:bookmarkStart w:id="10" w:name="_Toc23240073"/>
      <w:r w:rsidRPr="00151C03">
        <w:rPr>
          <w:rFonts w:eastAsia="MS Gothic"/>
          <w:sz w:val="26"/>
          <w:szCs w:val="26"/>
        </w:rPr>
        <w:t>Fravær</w:t>
      </w:r>
      <w:bookmarkEnd w:id="9"/>
      <w:bookmarkEnd w:id="10"/>
    </w:p>
    <w:p w:rsidR="00681BD7" w:rsidRPr="00151C03" w:rsidRDefault="00681BD7" w:rsidP="00681BD7">
      <w:pPr>
        <w:rPr>
          <w:rFonts w:eastAsia="MS Mincho"/>
          <w:sz w:val="22"/>
          <w:szCs w:val="24"/>
        </w:rPr>
      </w:pPr>
      <w:r w:rsidRPr="00151C03">
        <w:rPr>
          <w:rFonts w:eastAsia="MS Mincho"/>
          <w:sz w:val="22"/>
          <w:szCs w:val="24"/>
        </w:rPr>
        <w:t>De skoler der har for højt fravær for elever bør gøre en aktiv indsats for at nedsætte fraværet på de enkelte klassetrin og hold via information og samarbejde med både elever og forældre.</w:t>
      </w:r>
    </w:p>
    <w:p w:rsidR="00681BD7" w:rsidRPr="00151C03" w:rsidRDefault="00681BD7" w:rsidP="00681BD7">
      <w:pPr>
        <w:rPr>
          <w:rFonts w:eastAsia="MS Mincho"/>
          <w:sz w:val="22"/>
          <w:szCs w:val="24"/>
        </w:rPr>
      </w:pPr>
    </w:p>
    <w:p w:rsidR="00681BD7" w:rsidRPr="00151C03" w:rsidRDefault="00681BD7" w:rsidP="00681BD7">
      <w:pPr>
        <w:rPr>
          <w:rFonts w:eastAsia="MS Mincho"/>
          <w:sz w:val="22"/>
          <w:szCs w:val="24"/>
        </w:rPr>
      </w:pPr>
      <w:r w:rsidRPr="00151C03">
        <w:rPr>
          <w:rFonts w:eastAsia="MS Mincho"/>
          <w:sz w:val="22"/>
          <w:szCs w:val="24"/>
        </w:rPr>
        <w:t>Generelt skal skolerne have fokus på at mindske lærerfravær via sundheds/fraværssamtaler, særligt de skoler med lærere med meget fravær.</w:t>
      </w:r>
    </w:p>
    <w:p w:rsidR="00681BD7" w:rsidRPr="00151C03" w:rsidRDefault="00681BD7" w:rsidP="00681BD7">
      <w:pPr>
        <w:rPr>
          <w:rFonts w:eastAsia="MS Mincho"/>
          <w:sz w:val="22"/>
          <w:szCs w:val="24"/>
        </w:rPr>
      </w:pPr>
      <w:r w:rsidRPr="00151C03">
        <w:rPr>
          <w:rFonts w:eastAsia="MS Mincho"/>
          <w:sz w:val="22"/>
          <w:szCs w:val="24"/>
        </w:rPr>
        <w:t>Ulovlig fravær skal undgås både for elever og lærere.</w:t>
      </w:r>
    </w:p>
    <w:p w:rsidR="00681BD7" w:rsidRPr="00646858" w:rsidRDefault="00681BD7" w:rsidP="00681BD7">
      <w:pPr>
        <w:keepNext/>
        <w:tabs>
          <w:tab w:val="clear" w:pos="284"/>
        </w:tabs>
        <w:outlineLvl w:val="2"/>
        <w:rPr>
          <w:color w:val="FF0000"/>
          <w:u w:val="single"/>
        </w:rPr>
      </w:pPr>
    </w:p>
    <w:p w:rsidR="00681BD7" w:rsidRPr="00AE5947" w:rsidRDefault="00681BD7" w:rsidP="00681BD7">
      <w:pPr>
        <w:pStyle w:val="Default"/>
        <w:rPr>
          <w:color w:val="FF0000"/>
          <w:sz w:val="23"/>
          <w:szCs w:val="23"/>
        </w:rPr>
      </w:pPr>
    </w:p>
    <w:p w:rsidR="00681BD7" w:rsidRDefault="00681BD7" w:rsidP="00681BD7">
      <w:pPr>
        <w:tabs>
          <w:tab w:val="clear" w:pos="284"/>
        </w:tabs>
      </w:pPr>
      <w:r w:rsidRPr="00072F2F">
        <w:t>Den samlede kvalitetsrapport bør anvendes til at drøfte tiltag på skoleområdet.</w:t>
      </w:r>
    </w:p>
    <w:p w:rsidR="00681BD7" w:rsidRPr="00072F2F" w:rsidRDefault="00681BD7" w:rsidP="00681BD7">
      <w:pPr>
        <w:tabs>
          <w:tab w:val="clear" w:pos="284"/>
        </w:tabs>
      </w:pPr>
    </w:p>
    <w:p w:rsidR="00681BD7" w:rsidRPr="00072F2F" w:rsidRDefault="00681BD7" w:rsidP="00681BD7">
      <w:pPr>
        <w:keepNext/>
        <w:tabs>
          <w:tab w:val="clear" w:pos="284"/>
        </w:tabs>
        <w:outlineLvl w:val="3"/>
        <w:rPr>
          <w:b/>
        </w:rPr>
      </w:pPr>
    </w:p>
    <w:p w:rsidR="00681BD7" w:rsidRDefault="00681BD7" w:rsidP="00681BD7">
      <w:pPr>
        <w:keepNext/>
        <w:tabs>
          <w:tab w:val="clear" w:pos="284"/>
        </w:tabs>
        <w:outlineLvl w:val="3"/>
        <w:rPr>
          <w:b/>
        </w:rPr>
      </w:pPr>
      <w:r w:rsidRPr="00072F2F">
        <w:rPr>
          <w:b/>
        </w:rPr>
        <w:t>Indstilling</w:t>
      </w:r>
      <w:r w:rsidRPr="00072F2F">
        <w:rPr>
          <w:b/>
        </w:rPr>
        <w:tab/>
      </w:r>
    </w:p>
    <w:p w:rsidR="00681BD7" w:rsidRPr="003205F9" w:rsidRDefault="00681BD7" w:rsidP="00681BD7">
      <w:pPr>
        <w:pStyle w:val="Default"/>
        <w:rPr>
          <w:color w:val="auto"/>
          <w:sz w:val="23"/>
          <w:szCs w:val="23"/>
        </w:rPr>
      </w:pPr>
      <w:r>
        <w:rPr>
          <w:color w:val="auto"/>
          <w:sz w:val="23"/>
          <w:szCs w:val="23"/>
        </w:rPr>
        <w:t xml:space="preserve">Det </w:t>
      </w:r>
      <w:r w:rsidRPr="0042788F">
        <w:rPr>
          <w:color w:val="auto"/>
          <w:sz w:val="23"/>
          <w:szCs w:val="23"/>
        </w:rPr>
        <w:t>indstilles at Uddannelsesudvalget</w:t>
      </w:r>
    </w:p>
    <w:p w:rsidR="00681BD7" w:rsidRPr="003205F9" w:rsidRDefault="00681BD7" w:rsidP="00681BD7">
      <w:pPr>
        <w:pStyle w:val="Default"/>
        <w:numPr>
          <w:ilvl w:val="0"/>
          <w:numId w:val="37"/>
        </w:numPr>
        <w:spacing w:after="44"/>
        <w:rPr>
          <w:color w:val="auto"/>
          <w:sz w:val="23"/>
          <w:szCs w:val="23"/>
        </w:rPr>
      </w:pPr>
      <w:r w:rsidRPr="003205F9">
        <w:rPr>
          <w:color w:val="auto"/>
          <w:sz w:val="23"/>
          <w:szCs w:val="23"/>
        </w:rPr>
        <w:lastRenderedPageBreak/>
        <w:t xml:space="preserve">Tager skolernes kvalitetsrapporter til efterretning </w:t>
      </w:r>
    </w:p>
    <w:p w:rsidR="00681BD7" w:rsidRPr="003205F9" w:rsidRDefault="00681BD7" w:rsidP="00681BD7">
      <w:pPr>
        <w:pStyle w:val="Default"/>
        <w:numPr>
          <w:ilvl w:val="0"/>
          <w:numId w:val="37"/>
        </w:numPr>
        <w:spacing w:after="44"/>
        <w:rPr>
          <w:color w:val="auto"/>
          <w:sz w:val="23"/>
          <w:szCs w:val="23"/>
        </w:rPr>
      </w:pPr>
      <w:r w:rsidRPr="003205F9">
        <w:rPr>
          <w:color w:val="auto"/>
          <w:sz w:val="23"/>
          <w:szCs w:val="23"/>
        </w:rPr>
        <w:t xml:space="preserve">Drøfter resultaterne af den samlede kvalitetsrapport </w:t>
      </w:r>
    </w:p>
    <w:p w:rsidR="00681BD7" w:rsidRPr="003205F9" w:rsidRDefault="00681BD7" w:rsidP="00681BD7">
      <w:pPr>
        <w:pStyle w:val="Default"/>
        <w:numPr>
          <w:ilvl w:val="0"/>
          <w:numId w:val="37"/>
        </w:numPr>
        <w:rPr>
          <w:color w:val="auto"/>
          <w:sz w:val="23"/>
          <w:szCs w:val="23"/>
        </w:rPr>
      </w:pPr>
      <w:r w:rsidRPr="003205F9">
        <w:rPr>
          <w:color w:val="auto"/>
          <w:sz w:val="23"/>
          <w:szCs w:val="23"/>
        </w:rPr>
        <w:t xml:space="preserve">at punktet videresendes til Kommunalbestyrelsen </w:t>
      </w:r>
    </w:p>
    <w:p w:rsidR="00681BD7" w:rsidRPr="00072F2F" w:rsidRDefault="00681BD7" w:rsidP="00681BD7">
      <w:pPr>
        <w:keepNext/>
        <w:tabs>
          <w:tab w:val="clear" w:pos="284"/>
        </w:tabs>
        <w:outlineLvl w:val="3"/>
        <w:rPr>
          <w:b/>
        </w:rPr>
      </w:pPr>
    </w:p>
    <w:p w:rsidR="004A1FE1" w:rsidRDefault="004A1FE1" w:rsidP="00681BD7">
      <w:pPr>
        <w:keepNext/>
        <w:tabs>
          <w:tab w:val="clear" w:pos="284"/>
        </w:tabs>
        <w:outlineLvl w:val="3"/>
        <w:rPr>
          <w:b/>
        </w:rPr>
      </w:pPr>
    </w:p>
    <w:p w:rsidR="004A1FE1" w:rsidRDefault="004A1FE1" w:rsidP="00681BD7">
      <w:pPr>
        <w:keepNext/>
        <w:tabs>
          <w:tab w:val="clear" w:pos="284"/>
        </w:tabs>
        <w:outlineLvl w:val="3"/>
        <w:rPr>
          <w:b/>
        </w:rPr>
      </w:pPr>
    </w:p>
    <w:p w:rsidR="00681BD7" w:rsidRDefault="00681BD7" w:rsidP="00681BD7">
      <w:pPr>
        <w:keepNext/>
        <w:tabs>
          <w:tab w:val="clear" w:pos="284"/>
        </w:tabs>
        <w:outlineLvl w:val="3"/>
        <w:rPr>
          <w:b/>
        </w:rPr>
      </w:pPr>
      <w:r w:rsidRPr="00072F2F">
        <w:rPr>
          <w:b/>
        </w:rPr>
        <w:t>Afgørelse</w:t>
      </w:r>
      <w:r w:rsidRPr="00072F2F">
        <w:rPr>
          <w:b/>
        </w:rPr>
        <w:tab/>
      </w:r>
    </w:p>
    <w:p w:rsidR="004A1FE1" w:rsidRPr="00072F2F" w:rsidRDefault="004A1FE1" w:rsidP="00681BD7">
      <w:pPr>
        <w:keepNext/>
        <w:tabs>
          <w:tab w:val="clear" w:pos="284"/>
        </w:tabs>
        <w:outlineLvl w:val="3"/>
        <w:rPr>
          <w:b/>
        </w:rPr>
      </w:pPr>
    </w:p>
    <w:p w:rsidR="00AA07A2" w:rsidRPr="00AA07A2" w:rsidRDefault="00AA07A2" w:rsidP="00AA07A2">
      <w:pPr>
        <w:keepNext/>
        <w:tabs>
          <w:tab w:val="clear" w:pos="284"/>
          <w:tab w:val="left" w:pos="1304"/>
        </w:tabs>
        <w:outlineLvl w:val="3"/>
      </w:pPr>
      <w:r w:rsidRPr="00AA07A2">
        <w:t>Frederik Olsen ønsker ikke at afgive stemme, idet gennemsnittet på adgangsprøver ikke foreligger.</w:t>
      </w:r>
    </w:p>
    <w:p w:rsidR="00AA07A2" w:rsidRPr="00AA07A2" w:rsidRDefault="00AA07A2" w:rsidP="00AA07A2">
      <w:pPr>
        <w:keepNext/>
        <w:tabs>
          <w:tab w:val="clear" w:pos="284"/>
          <w:tab w:val="left" w:pos="1304"/>
        </w:tabs>
        <w:outlineLvl w:val="3"/>
      </w:pPr>
      <w:r w:rsidRPr="00AA07A2">
        <w:t>Indstillingen er godkendt af øvrige medlemmer.</w:t>
      </w:r>
    </w:p>
    <w:p w:rsidR="00681BD7" w:rsidRDefault="00681BD7" w:rsidP="00681BD7">
      <w:pPr>
        <w:tabs>
          <w:tab w:val="clear" w:pos="284"/>
        </w:tabs>
      </w:pPr>
    </w:p>
    <w:p w:rsidR="00AA07A2" w:rsidRPr="00072F2F" w:rsidRDefault="00AA07A2" w:rsidP="00681BD7">
      <w:pPr>
        <w:tabs>
          <w:tab w:val="clear" w:pos="284"/>
        </w:tabs>
      </w:pPr>
    </w:p>
    <w:p w:rsidR="00681BD7" w:rsidRPr="00072F2F" w:rsidRDefault="00681BD7" w:rsidP="00681BD7">
      <w:pPr>
        <w:keepNext/>
        <w:tabs>
          <w:tab w:val="clear" w:pos="284"/>
        </w:tabs>
        <w:outlineLvl w:val="3"/>
        <w:rPr>
          <w:b/>
        </w:rPr>
      </w:pPr>
      <w:r w:rsidRPr="00072F2F">
        <w:rPr>
          <w:b/>
        </w:rPr>
        <w:t>Bilag</w:t>
      </w:r>
    </w:p>
    <w:p w:rsidR="00681BD7" w:rsidRPr="00072F2F" w:rsidRDefault="00681BD7" w:rsidP="00681BD7">
      <w:pPr>
        <w:numPr>
          <w:ilvl w:val="0"/>
          <w:numId w:val="3"/>
        </w:numPr>
        <w:tabs>
          <w:tab w:val="clear" w:pos="207"/>
          <w:tab w:val="clear" w:pos="284"/>
          <w:tab w:val="num" w:pos="360"/>
        </w:tabs>
        <w:ind w:left="360" w:hanging="360"/>
      </w:pPr>
      <w:r>
        <w:t xml:space="preserve">Fælles </w:t>
      </w:r>
      <w:r w:rsidRPr="00072F2F">
        <w:t>kvalitetsrapport for skolerne i Qeqqata Kommunia</w:t>
      </w:r>
    </w:p>
    <w:p w:rsidR="00681BD7" w:rsidRPr="00072F2F" w:rsidRDefault="00681BD7" w:rsidP="00681BD7">
      <w:pPr>
        <w:numPr>
          <w:ilvl w:val="0"/>
          <w:numId w:val="3"/>
        </w:numPr>
        <w:tabs>
          <w:tab w:val="clear" w:pos="207"/>
          <w:tab w:val="clear" w:pos="284"/>
          <w:tab w:val="num" w:pos="360"/>
        </w:tabs>
        <w:ind w:left="360" w:hanging="360"/>
      </w:pPr>
      <w:r w:rsidRPr="00072F2F">
        <w:t xml:space="preserve">Kvalitetsrapport fra </w:t>
      </w:r>
      <w:r w:rsidRPr="00072F2F">
        <w:rPr>
          <w:bCs/>
        </w:rPr>
        <w:t>Minngortuunnguup Atuarfia</w:t>
      </w:r>
    </w:p>
    <w:p w:rsidR="00681BD7" w:rsidRPr="00072F2F" w:rsidRDefault="00681BD7" w:rsidP="00681BD7">
      <w:pPr>
        <w:numPr>
          <w:ilvl w:val="0"/>
          <w:numId w:val="3"/>
        </w:numPr>
        <w:tabs>
          <w:tab w:val="clear" w:pos="207"/>
          <w:tab w:val="clear" w:pos="284"/>
          <w:tab w:val="num" w:pos="360"/>
        </w:tabs>
        <w:ind w:left="360" w:hanging="360"/>
      </w:pPr>
      <w:r w:rsidRPr="00072F2F">
        <w:t xml:space="preserve">Kvalitetsrapport fra </w:t>
      </w:r>
      <w:proofErr w:type="spellStart"/>
      <w:r w:rsidRPr="00072F2F">
        <w:t>Qinnguata</w:t>
      </w:r>
      <w:proofErr w:type="spellEnd"/>
      <w:r w:rsidRPr="00072F2F">
        <w:t xml:space="preserve"> Atuarfia</w:t>
      </w:r>
    </w:p>
    <w:p w:rsidR="00681BD7" w:rsidRPr="00072F2F" w:rsidRDefault="00681BD7" w:rsidP="00681BD7">
      <w:pPr>
        <w:numPr>
          <w:ilvl w:val="0"/>
          <w:numId w:val="3"/>
        </w:numPr>
        <w:tabs>
          <w:tab w:val="clear" w:pos="207"/>
          <w:tab w:val="clear" w:pos="284"/>
          <w:tab w:val="num" w:pos="360"/>
        </w:tabs>
        <w:ind w:left="360" w:hanging="360"/>
      </w:pPr>
      <w:r w:rsidRPr="00072F2F">
        <w:t xml:space="preserve">Kvalitetsrapport fra </w:t>
      </w:r>
      <w:proofErr w:type="spellStart"/>
      <w:r w:rsidRPr="00072F2F">
        <w:t>Kangaamiut</w:t>
      </w:r>
      <w:proofErr w:type="spellEnd"/>
      <w:r w:rsidRPr="00072F2F">
        <w:t xml:space="preserve"> Atuarfia</w:t>
      </w:r>
    </w:p>
    <w:p w:rsidR="00681BD7" w:rsidRPr="00072F2F" w:rsidRDefault="00681BD7" w:rsidP="00681BD7">
      <w:pPr>
        <w:numPr>
          <w:ilvl w:val="0"/>
          <w:numId w:val="3"/>
        </w:numPr>
        <w:tabs>
          <w:tab w:val="clear" w:pos="207"/>
          <w:tab w:val="clear" w:pos="284"/>
          <w:tab w:val="num" w:pos="360"/>
        </w:tabs>
        <w:ind w:left="360" w:hanging="360"/>
      </w:pPr>
      <w:r w:rsidRPr="00072F2F">
        <w:t xml:space="preserve">Kvalitetsrapport fra Sarfannguit </w:t>
      </w:r>
      <w:proofErr w:type="spellStart"/>
      <w:r w:rsidRPr="00072F2F">
        <w:t>atuarfia</w:t>
      </w:r>
      <w:proofErr w:type="spellEnd"/>
    </w:p>
    <w:p w:rsidR="00681BD7" w:rsidRPr="00072F2F" w:rsidRDefault="00681BD7" w:rsidP="00681BD7">
      <w:pPr>
        <w:numPr>
          <w:ilvl w:val="0"/>
          <w:numId w:val="3"/>
        </w:numPr>
        <w:tabs>
          <w:tab w:val="clear" w:pos="207"/>
          <w:tab w:val="clear" w:pos="284"/>
          <w:tab w:val="num" w:pos="360"/>
        </w:tabs>
        <w:ind w:left="360" w:hanging="360"/>
      </w:pPr>
      <w:r w:rsidRPr="00072F2F">
        <w:t>Kvalitetsrapport fra Nalunnguarfiup Atuarfia</w:t>
      </w:r>
    </w:p>
    <w:p w:rsidR="00681BD7" w:rsidRPr="00072F2F" w:rsidRDefault="00681BD7" w:rsidP="00681BD7">
      <w:pPr>
        <w:numPr>
          <w:ilvl w:val="0"/>
          <w:numId w:val="3"/>
        </w:numPr>
        <w:tabs>
          <w:tab w:val="clear" w:pos="207"/>
          <w:tab w:val="clear" w:pos="284"/>
          <w:tab w:val="num" w:pos="360"/>
        </w:tabs>
        <w:ind w:left="360" w:hanging="360"/>
      </w:pPr>
      <w:r w:rsidRPr="00072F2F">
        <w:t xml:space="preserve">Kvalitetsrapport fra </w:t>
      </w:r>
      <w:proofErr w:type="spellStart"/>
      <w:r w:rsidRPr="00072F2F">
        <w:t>Atuarfik</w:t>
      </w:r>
      <w:proofErr w:type="spellEnd"/>
      <w:r w:rsidRPr="00072F2F">
        <w:t xml:space="preserve"> </w:t>
      </w:r>
      <w:proofErr w:type="spellStart"/>
      <w:r w:rsidRPr="00072F2F">
        <w:t>Kilaaseeraq</w:t>
      </w:r>
      <w:proofErr w:type="spellEnd"/>
    </w:p>
    <w:p w:rsidR="00681BD7" w:rsidRDefault="00681BD7" w:rsidP="00681BD7">
      <w:pPr>
        <w:numPr>
          <w:ilvl w:val="0"/>
          <w:numId w:val="3"/>
        </w:numPr>
        <w:tabs>
          <w:tab w:val="clear" w:pos="207"/>
          <w:tab w:val="clear" w:pos="284"/>
          <w:tab w:val="num" w:pos="360"/>
        </w:tabs>
        <w:ind w:left="360" w:hanging="360"/>
      </w:pPr>
      <w:r w:rsidRPr="00072F2F">
        <w:t xml:space="preserve">Kvalitetsrapport fra </w:t>
      </w:r>
      <w:proofErr w:type="spellStart"/>
      <w:r w:rsidRPr="00072F2F">
        <w:t>Atammik</w:t>
      </w:r>
      <w:proofErr w:type="spellEnd"/>
      <w:r w:rsidRPr="00072F2F">
        <w:t xml:space="preserve"> </w:t>
      </w:r>
      <w:proofErr w:type="spellStart"/>
      <w:r w:rsidRPr="00072F2F">
        <w:t>atuarfia</w:t>
      </w:r>
      <w:proofErr w:type="spellEnd"/>
    </w:p>
    <w:p w:rsidR="00681BD7" w:rsidRDefault="00681BD7" w:rsidP="00681BD7">
      <w:pPr>
        <w:numPr>
          <w:ilvl w:val="0"/>
          <w:numId w:val="3"/>
        </w:numPr>
        <w:tabs>
          <w:tab w:val="clear" w:pos="207"/>
          <w:tab w:val="clear" w:pos="284"/>
          <w:tab w:val="num" w:pos="360"/>
        </w:tabs>
        <w:ind w:left="360" w:hanging="360"/>
      </w:pPr>
      <w:r w:rsidRPr="00072F2F">
        <w:t>Kvalitetsrapport fra</w:t>
      </w:r>
      <w:r>
        <w:t xml:space="preserve"> </w:t>
      </w:r>
      <w:proofErr w:type="spellStart"/>
      <w:r>
        <w:t>Napasoq</w:t>
      </w:r>
      <w:proofErr w:type="spellEnd"/>
      <w:r>
        <w:t xml:space="preserve"> </w:t>
      </w:r>
      <w:proofErr w:type="spellStart"/>
      <w:r>
        <w:t>atuarfia</w:t>
      </w:r>
      <w:proofErr w:type="spellEnd"/>
    </w:p>
    <w:p w:rsidR="00681BD7" w:rsidRPr="00072F2F" w:rsidRDefault="00681BD7" w:rsidP="00681BD7">
      <w:pPr>
        <w:numPr>
          <w:ilvl w:val="0"/>
          <w:numId w:val="3"/>
        </w:numPr>
        <w:tabs>
          <w:tab w:val="clear" w:pos="207"/>
          <w:tab w:val="clear" w:pos="284"/>
          <w:tab w:val="num" w:pos="360"/>
        </w:tabs>
        <w:ind w:left="360" w:hanging="360"/>
      </w:pPr>
      <w:r w:rsidRPr="00072F2F">
        <w:t>Kvalitetsrapport fra</w:t>
      </w:r>
      <w:r>
        <w:t xml:space="preserve"> Itilleq Atuarfia</w:t>
      </w:r>
    </w:p>
    <w:p w:rsidR="00681BD7" w:rsidRDefault="00681BD7" w:rsidP="00681BD7"/>
    <w:p w:rsidR="00681BD7" w:rsidRDefault="00681BD7" w:rsidP="00CB6A14">
      <w:pPr>
        <w:tabs>
          <w:tab w:val="clear" w:pos="284"/>
        </w:tabs>
        <w:spacing w:after="160" w:line="259" w:lineRule="auto"/>
        <w:rPr>
          <w:b/>
          <w:sz w:val="28"/>
          <w:szCs w:val="28"/>
          <w:u w:val="single"/>
        </w:rPr>
      </w:pPr>
      <w:r>
        <w:rPr>
          <w:b/>
          <w:sz w:val="28"/>
          <w:szCs w:val="28"/>
          <w:u w:val="single"/>
        </w:rPr>
        <w:br w:type="page"/>
      </w:r>
    </w:p>
    <w:p w:rsidR="004D7479" w:rsidRPr="00821AF6" w:rsidRDefault="004D7479" w:rsidP="004D7479">
      <w:pPr>
        <w:pStyle w:val="Overskrift1"/>
        <w:rPr>
          <w:rFonts w:ascii="Times New Roman" w:hAnsi="Times New Roman"/>
          <w:b w:val="0"/>
          <w:color w:val="auto"/>
          <w:sz w:val="28"/>
          <w:szCs w:val="28"/>
        </w:rPr>
      </w:pPr>
      <w:r w:rsidRPr="00821AF6">
        <w:rPr>
          <w:rFonts w:ascii="Times New Roman" w:hAnsi="Times New Roman"/>
          <w:color w:val="auto"/>
          <w:sz w:val="28"/>
          <w:szCs w:val="28"/>
          <w:lang w:eastAsia="ja-JP"/>
        </w:rPr>
        <w:lastRenderedPageBreak/>
        <w:softHyphen/>
        <w:t xml:space="preserve">Punkt. 05 </w:t>
      </w:r>
      <w:r w:rsidRPr="00821AF6">
        <w:rPr>
          <w:rFonts w:ascii="Times New Roman" w:hAnsi="Times New Roman"/>
          <w:color w:val="auto"/>
          <w:sz w:val="28"/>
          <w:szCs w:val="28"/>
          <w:lang w:bidi="da-DK"/>
        </w:rPr>
        <w:t>Vedrørende forældre til folkeskoleelever</w:t>
      </w:r>
    </w:p>
    <w:p w:rsidR="004D7479" w:rsidRPr="00821AF6" w:rsidRDefault="004D7479" w:rsidP="004D7479">
      <w:pPr>
        <w:pStyle w:val="Overskrift1"/>
        <w:rPr>
          <w:rFonts w:ascii="Times New Roman" w:hAnsi="Times New Roman"/>
          <w:color w:val="auto"/>
        </w:rPr>
      </w:pPr>
      <w:r w:rsidRPr="00821AF6">
        <w:rPr>
          <w:rFonts w:ascii="Times New Roman" w:hAnsi="Times New Roman"/>
          <w:b w:val="0"/>
          <w:i/>
          <w:color w:val="auto"/>
          <w:sz w:val="22"/>
        </w:rPr>
        <w:t>Journal nr. 51.00</w:t>
      </w:r>
    </w:p>
    <w:p w:rsidR="004D7479" w:rsidRPr="00821AF6" w:rsidRDefault="004D7479" w:rsidP="004D7479">
      <w:pPr>
        <w:rPr>
          <w:i/>
        </w:rPr>
      </w:pPr>
    </w:p>
    <w:p w:rsidR="004D7479" w:rsidRPr="00821AF6" w:rsidRDefault="004D7479" w:rsidP="004D7479">
      <w:pPr>
        <w:rPr>
          <w:szCs w:val="24"/>
          <w:u w:val="single"/>
        </w:rPr>
      </w:pPr>
      <w:r w:rsidRPr="00821AF6">
        <w:rPr>
          <w:szCs w:val="24"/>
          <w:u w:val="single"/>
        </w:rPr>
        <w:t>Baggrund</w:t>
      </w:r>
    </w:p>
    <w:p w:rsidR="004D7479" w:rsidRPr="00821AF6" w:rsidRDefault="004D7479" w:rsidP="004D7479">
      <w:pPr>
        <w:rPr>
          <w:szCs w:val="24"/>
          <w:lang w:bidi="da-DK"/>
        </w:rPr>
      </w:pPr>
      <w:r w:rsidRPr="00821AF6">
        <w:rPr>
          <w:szCs w:val="24"/>
        </w:rPr>
        <w:t>Kommunalbestyrelsen har ved sit møde 05/2019, d. 30. september 2019 behandlet Kommunalbestyrelsesmedlem Sofie Dorthe R. Olsens forslag: ”</w:t>
      </w:r>
      <w:r w:rsidRPr="00821AF6">
        <w:rPr>
          <w:szCs w:val="24"/>
          <w:lang w:bidi="da-DK"/>
        </w:rPr>
        <w:t xml:space="preserve">Vedrørende forældre til folkeskoleelever”. Kommunalbestyrelsen besluttede til mødet at sagen videresendes til Udvalg fro Uddannelse og Udvalg for Velfærd. </w:t>
      </w:r>
    </w:p>
    <w:p w:rsidR="004D7479" w:rsidRPr="00821AF6" w:rsidRDefault="004D7479" w:rsidP="004D7479">
      <w:pPr>
        <w:rPr>
          <w:szCs w:val="24"/>
          <w:lang w:bidi="da-DK"/>
        </w:rPr>
      </w:pPr>
      <w:r w:rsidRPr="00821AF6">
        <w:rPr>
          <w:szCs w:val="24"/>
          <w:lang w:bidi="da-DK"/>
        </w:rPr>
        <w:t xml:space="preserve">Sofie Dorthe R. Olsen foreslår at Kommunalbestyrelsen og sidenhen udvalg for uddannelses drøfter hvordan man finder løsning på forældrenes manglende engagement i børnenes skolegang, samt i skolearrangementer. Kort sagt, hvordan kan vi imødekomme forældrene om elevernes videre fremtid? Jeg vil som sidst nævne, at </w:t>
      </w:r>
      <w:proofErr w:type="spellStart"/>
      <w:r w:rsidRPr="00821AF6">
        <w:rPr>
          <w:szCs w:val="24"/>
          <w:lang w:bidi="da-DK"/>
        </w:rPr>
        <w:t>Majoriaq</w:t>
      </w:r>
      <w:proofErr w:type="spellEnd"/>
      <w:r w:rsidRPr="00821AF6">
        <w:rPr>
          <w:szCs w:val="24"/>
          <w:lang w:bidi="da-DK"/>
        </w:rPr>
        <w:t xml:space="preserve"> ikke skal være den udelukkende løsningsforslag.  </w:t>
      </w:r>
    </w:p>
    <w:p w:rsidR="004D7479" w:rsidRPr="00821AF6" w:rsidRDefault="004D7479" w:rsidP="004D7479">
      <w:pPr>
        <w:rPr>
          <w:szCs w:val="24"/>
          <w:lang w:bidi="da-DK"/>
        </w:rPr>
      </w:pPr>
      <w:r w:rsidRPr="00821AF6">
        <w:rPr>
          <w:szCs w:val="24"/>
          <w:lang w:bidi="da-DK"/>
        </w:rPr>
        <w:t xml:space="preserve">Baggrunden for forslaget er at Sofie Dorthe R. Olsen mener at selvom kommunen har igangsat forskellige gode tiltag for at forbedre folkeskoleelevernes skolegang som eks. Opmuntringspriser til elever med gode resultater, mindst fravær samt med den bedste fremgang, så er der en gruppe elever som vi som kommune ikke når. </w:t>
      </w:r>
    </w:p>
    <w:p w:rsidR="004D7479" w:rsidRPr="00821AF6" w:rsidRDefault="004D7479" w:rsidP="004D7479">
      <w:pPr>
        <w:rPr>
          <w:szCs w:val="24"/>
          <w:lang w:bidi="da-DK"/>
        </w:rPr>
      </w:pPr>
      <w:r w:rsidRPr="00821AF6">
        <w:rPr>
          <w:szCs w:val="24"/>
          <w:lang w:bidi="da-DK"/>
        </w:rPr>
        <w:t xml:space="preserve">Hun mener der bør være større fokus på den gruppe af børn, som ikke klare sig lige så godt i folkeskolen og hvor forældrene ikke har taget et større medansvar i forhold til disse børns skolegang. Hun mener det er meget vigtig at arbejde med disse forældregrupper, som ikke møder op til forældremøderne, og som ikke kommer til skolearrangementer. For når forældrene forsømmer deres børn, har de svært ved at passe deres skolegang optimalt. </w:t>
      </w:r>
    </w:p>
    <w:p w:rsidR="004D7479" w:rsidRPr="00821AF6" w:rsidRDefault="004D7479" w:rsidP="004D7479">
      <w:pPr>
        <w:rPr>
          <w:szCs w:val="24"/>
          <w:lang w:bidi="da-DK"/>
        </w:rPr>
      </w:pPr>
      <w:r w:rsidRPr="00821AF6">
        <w:rPr>
          <w:szCs w:val="24"/>
          <w:lang w:bidi="da-DK"/>
        </w:rPr>
        <w:t xml:space="preserve">Derfor hvis vi vil have børn, der passer deres skolegang er det vigtigt at få forældrene til at støtte op om deres børns skolegang. </w:t>
      </w:r>
    </w:p>
    <w:p w:rsidR="004D7479" w:rsidRPr="00821AF6" w:rsidRDefault="004D7479" w:rsidP="004D7479">
      <w:pPr>
        <w:rPr>
          <w:szCs w:val="24"/>
          <w:lang w:bidi="da-DK"/>
        </w:rPr>
      </w:pPr>
      <w:r w:rsidRPr="00821AF6">
        <w:rPr>
          <w:szCs w:val="24"/>
          <w:lang w:bidi="da-DK"/>
        </w:rPr>
        <w:t xml:space="preserve">Desværre er der stadig for mange forældre som ikke følger med i deres børns skolegang, og som heller ikke støtter dem samt forsømmer dem.   </w:t>
      </w:r>
    </w:p>
    <w:p w:rsidR="004D7479" w:rsidRPr="00821AF6" w:rsidRDefault="004D7479" w:rsidP="004D7479">
      <w:pPr>
        <w:rPr>
          <w:szCs w:val="24"/>
          <w:lang w:bidi="da-DK"/>
        </w:rPr>
      </w:pPr>
      <w:r w:rsidRPr="00821AF6">
        <w:rPr>
          <w:szCs w:val="24"/>
          <w:lang w:bidi="da-DK"/>
        </w:rPr>
        <w:t>På baggrund af disse ting ønsker Sofie Dorthe R. Olsen at Kommunalbestyrelsen og uddannelsesudvalget drøfter løsninger på forældrenes manglende engagement i børnenes skolegang samt opbakning til arrangementer på skolen.</w:t>
      </w:r>
    </w:p>
    <w:p w:rsidR="004D7479" w:rsidRPr="00821AF6" w:rsidRDefault="004D7479" w:rsidP="004D7479">
      <w:pPr>
        <w:rPr>
          <w:szCs w:val="24"/>
          <w:lang w:bidi="da-DK"/>
        </w:rPr>
      </w:pPr>
      <w:r w:rsidRPr="00821AF6">
        <w:rPr>
          <w:szCs w:val="24"/>
          <w:lang w:bidi="da-DK"/>
        </w:rPr>
        <w:t xml:space="preserve">Hun mener i den sammenhæng at det er vigtigt ikke kun at fokusere på </w:t>
      </w:r>
      <w:proofErr w:type="spellStart"/>
      <w:r w:rsidRPr="00821AF6">
        <w:rPr>
          <w:szCs w:val="24"/>
          <w:lang w:bidi="da-DK"/>
        </w:rPr>
        <w:t>Majoriaq</w:t>
      </w:r>
      <w:proofErr w:type="spellEnd"/>
      <w:r w:rsidRPr="00821AF6">
        <w:rPr>
          <w:szCs w:val="24"/>
          <w:lang w:bidi="da-DK"/>
        </w:rPr>
        <w:t xml:space="preserve"> ikke skal være den udelukkende løsningsforslag.  Jeg anbefaler endvidere, at sagen først drøftes i kommunalbestyrelsen. </w:t>
      </w:r>
    </w:p>
    <w:p w:rsidR="004D7479" w:rsidRPr="00821AF6" w:rsidRDefault="004D7479" w:rsidP="004D7479">
      <w:pPr>
        <w:rPr>
          <w:szCs w:val="24"/>
        </w:rPr>
      </w:pPr>
    </w:p>
    <w:p w:rsidR="004D7479" w:rsidRPr="00821AF6" w:rsidRDefault="004D7479" w:rsidP="004D7479"/>
    <w:p w:rsidR="004D7479" w:rsidRPr="00821AF6" w:rsidRDefault="004D7479" w:rsidP="004D7479">
      <w:pPr>
        <w:rPr>
          <w:u w:val="single"/>
        </w:rPr>
      </w:pPr>
      <w:r w:rsidRPr="00821AF6">
        <w:rPr>
          <w:u w:val="single"/>
        </w:rPr>
        <w:t xml:space="preserve">Regelgrundlag </w:t>
      </w:r>
    </w:p>
    <w:p w:rsidR="004D7479" w:rsidRPr="00821AF6" w:rsidRDefault="004D7479" w:rsidP="004D7479">
      <w:pPr>
        <w:rPr>
          <w:szCs w:val="24"/>
        </w:rPr>
      </w:pPr>
      <w:proofErr w:type="spellStart"/>
      <w:r w:rsidRPr="00821AF6">
        <w:rPr>
          <w:szCs w:val="24"/>
        </w:rPr>
        <w:t>Inatsisartutlov</w:t>
      </w:r>
      <w:proofErr w:type="spellEnd"/>
      <w:r w:rsidRPr="00821AF6">
        <w:rPr>
          <w:szCs w:val="24"/>
        </w:rPr>
        <w:t xml:space="preserve"> nr. 15 af 3. december 2012 om folkeskolen</w:t>
      </w:r>
    </w:p>
    <w:p w:rsidR="004D7479" w:rsidRPr="00821AF6" w:rsidRDefault="004D7479" w:rsidP="004D7479">
      <w:pPr>
        <w:rPr>
          <w:szCs w:val="24"/>
        </w:rPr>
      </w:pPr>
      <w:r w:rsidRPr="00821AF6">
        <w:rPr>
          <w:szCs w:val="24"/>
        </w:rPr>
        <w:t xml:space="preserve">Qeqqata </w:t>
      </w:r>
      <w:proofErr w:type="spellStart"/>
      <w:r w:rsidRPr="00821AF6">
        <w:rPr>
          <w:szCs w:val="24"/>
        </w:rPr>
        <w:t>Kommunias</w:t>
      </w:r>
      <w:proofErr w:type="spellEnd"/>
      <w:r w:rsidRPr="00821AF6">
        <w:rPr>
          <w:szCs w:val="24"/>
        </w:rPr>
        <w:t xml:space="preserve"> planstrategi 2018-2022</w:t>
      </w:r>
    </w:p>
    <w:p w:rsidR="004D7479" w:rsidRPr="00821AF6" w:rsidRDefault="004D7479" w:rsidP="004D7479"/>
    <w:p w:rsidR="004D7479" w:rsidRPr="00821AF6" w:rsidRDefault="004D7479" w:rsidP="004D7479"/>
    <w:p w:rsidR="004D7479" w:rsidRPr="00821AF6" w:rsidRDefault="004D7479" w:rsidP="004D7479">
      <w:pPr>
        <w:rPr>
          <w:u w:val="single"/>
        </w:rPr>
      </w:pPr>
      <w:r w:rsidRPr="00821AF6">
        <w:rPr>
          <w:u w:val="single"/>
        </w:rPr>
        <w:t>Faktiske forhold</w:t>
      </w:r>
    </w:p>
    <w:p w:rsidR="004D7479" w:rsidRPr="00821AF6" w:rsidRDefault="004D7479" w:rsidP="004D7479">
      <w:pPr>
        <w:autoSpaceDE w:val="0"/>
        <w:autoSpaceDN w:val="0"/>
        <w:adjustRightInd w:val="0"/>
        <w:rPr>
          <w:szCs w:val="24"/>
        </w:rPr>
      </w:pPr>
      <w:r w:rsidRPr="00821AF6">
        <w:rPr>
          <w:szCs w:val="24"/>
        </w:rPr>
        <w:t xml:space="preserve">Ansvaret for børnenes skolegang i </w:t>
      </w:r>
      <w:proofErr w:type="spellStart"/>
      <w:r w:rsidRPr="00821AF6">
        <w:rPr>
          <w:szCs w:val="24"/>
        </w:rPr>
        <w:t>Inatsisartutlov</w:t>
      </w:r>
      <w:proofErr w:type="spellEnd"/>
      <w:r w:rsidRPr="00821AF6">
        <w:rPr>
          <w:szCs w:val="24"/>
        </w:rPr>
        <w:t xml:space="preserve"> nr. 15 af 3. december 2012 om folkeskolen en opgave der deles mellem skolen og hjemmet. Inddragelse af forældrene har stor betydning for elevens læring og udvikling. Skole og forældre skal samarbejde om at understøtte og motivere eleven. Folkeskoleloven giver ingen konkrete bud på, hvordan samarbejdet kan forløbe. Dog er det i henhold til </w:t>
      </w:r>
      <w:proofErr w:type="spellStart"/>
      <w:r w:rsidRPr="00821AF6">
        <w:rPr>
          <w:szCs w:val="24"/>
        </w:rPr>
        <w:t>Inatsisartutlov</w:t>
      </w:r>
      <w:proofErr w:type="spellEnd"/>
      <w:r w:rsidRPr="00821AF6">
        <w:rPr>
          <w:szCs w:val="24"/>
        </w:rPr>
        <w:t xml:space="preserve"> nr. 15 af 3. december 2012 om folkeskolen opstillet i bestemmelsen en handlepligt for forældrene f.eks. i tilfælde af elevens udeblivelse fra undervisningen. Bestemmelsen er i det hele begrundet i hensynet til at opfange eventuelle problemer, ligesom bestemmelsen skal ses som en styrkelse af skole-hjem-samarbejdet. Skolebestyrelsen skal i henhold til loven, fastsætte </w:t>
      </w:r>
      <w:r w:rsidRPr="00821AF6">
        <w:rPr>
          <w:szCs w:val="24"/>
        </w:rPr>
        <w:lastRenderedPageBreak/>
        <w:t>retningslinjer for skolens øvrige virksomhed, herunder for skolens og hjemmets samråd om det enkelte barns skole- og uddannelsesforløb og det øvrige samarbejde mellem skole og hjem.</w:t>
      </w:r>
    </w:p>
    <w:p w:rsidR="004D7479" w:rsidRPr="00821AF6" w:rsidRDefault="004D7479" w:rsidP="004D7479">
      <w:pPr>
        <w:rPr>
          <w:szCs w:val="24"/>
        </w:rPr>
      </w:pPr>
      <w:r w:rsidRPr="00821AF6">
        <w:rPr>
          <w:szCs w:val="24"/>
        </w:rPr>
        <w:t>Det er derfor vigtig at ledelsen, lærerne, pædagogerne og forældrene sammen giver samarbejdet indhold.</w:t>
      </w:r>
    </w:p>
    <w:p w:rsidR="004D7479" w:rsidRPr="00821AF6" w:rsidRDefault="004D7479" w:rsidP="004D7479">
      <w:pPr>
        <w:rPr>
          <w:szCs w:val="24"/>
        </w:rPr>
      </w:pPr>
    </w:p>
    <w:p w:rsidR="004D7479" w:rsidRPr="00821AF6" w:rsidRDefault="004D7479" w:rsidP="004D7479">
      <w:pPr>
        <w:rPr>
          <w:szCs w:val="24"/>
        </w:rPr>
      </w:pPr>
      <w:r w:rsidRPr="00821AF6">
        <w:rPr>
          <w:szCs w:val="24"/>
        </w:rPr>
        <w:t>I Qeqqata Kommunia har man som mål at styrke skole-hjemsamarbejdet og man arbejder på forskellige måder med at inddrage forældrene mere aktivt. Der er gode erfaringer mht. skolehjemsamarbejde i flere skoler, især når skolebestyrelserne eller skoleledere har sørget for inddragende arrangementer så der opstår fælleskaber på skolen/ hyggelige forældresammenkomster på skolen, f.eks. fælles madlavning eller dialogspil som ”</w:t>
      </w:r>
      <w:proofErr w:type="spellStart"/>
      <w:r w:rsidRPr="00821AF6">
        <w:rPr>
          <w:szCs w:val="24"/>
        </w:rPr>
        <w:t>Qanoq</w:t>
      </w:r>
      <w:proofErr w:type="spellEnd"/>
      <w:r w:rsidRPr="00821AF6">
        <w:rPr>
          <w:szCs w:val="24"/>
        </w:rPr>
        <w:t xml:space="preserve"> </w:t>
      </w:r>
      <w:proofErr w:type="spellStart"/>
      <w:r w:rsidRPr="00821AF6">
        <w:rPr>
          <w:szCs w:val="24"/>
        </w:rPr>
        <w:t>isumaqarpisi</w:t>
      </w:r>
      <w:proofErr w:type="spellEnd"/>
      <w:r w:rsidRPr="00821AF6">
        <w:rPr>
          <w:szCs w:val="24"/>
        </w:rPr>
        <w:t xml:space="preserve"> /Hvad mener I?” I </w:t>
      </w:r>
      <w:proofErr w:type="spellStart"/>
      <w:r w:rsidRPr="00821AF6">
        <w:rPr>
          <w:szCs w:val="24"/>
        </w:rPr>
        <w:t>Kangaamiut</w:t>
      </w:r>
      <w:proofErr w:type="spellEnd"/>
      <w:r w:rsidRPr="00821AF6">
        <w:rPr>
          <w:szCs w:val="24"/>
        </w:rPr>
        <w:t xml:space="preserve"> har man i flere år haft glæde af dialogspillet ”</w:t>
      </w:r>
      <w:proofErr w:type="spellStart"/>
      <w:r w:rsidRPr="00821AF6">
        <w:rPr>
          <w:szCs w:val="24"/>
        </w:rPr>
        <w:t>Qanoq</w:t>
      </w:r>
      <w:proofErr w:type="spellEnd"/>
      <w:r w:rsidRPr="00821AF6">
        <w:rPr>
          <w:szCs w:val="24"/>
        </w:rPr>
        <w:t xml:space="preserve"> </w:t>
      </w:r>
      <w:proofErr w:type="spellStart"/>
      <w:r w:rsidRPr="00821AF6">
        <w:rPr>
          <w:szCs w:val="24"/>
        </w:rPr>
        <w:t>isumaqarpisi</w:t>
      </w:r>
      <w:proofErr w:type="spellEnd"/>
      <w:r w:rsidRPr="00821AF6">
        <w:rPr>
          <w:szCs w:val="24"/>
        </w:rPr>
        <w:t xml:space="preserve"> /Hvad mener I?” som er spil der kan bruges til forældremøder og forældrearrangementer. Dialogspillet giver mulighed for at forældrene kan diskutere forskellige emner, som vedrører forældre, børn og skole.</w:t>
      </w:r>
    </w:p>
    <w:p w:rsidR="004D7479" w:rsidRPr="00821AF6" w:rsidRDefault="004D7479" w:rsidP="004D7479">
      <w:pPr>
        <w:rPr>
          <w:szCs w:val="24"/>
        </w:rPr>
      </w:pPr>
    </w:p>
    <w:p w:rsidR="004D7479" w:rsidRPr="00821AF6" w:rsidRDefault="004D7479" w:rsidP="004D7479">
      <w:pPr>
        <w:rPr>
          <w:szCs w:val="24"/>
        </w:rPr>
      </w:pPr>
      <w:r w:rsidRPr="00821AF6">
        <w:rPr>
          <w:szCs w:val="24"/>
        </w:rPr>
        <w:t>Siden 2016 har der været familieklasser på de 3 største skoler i Sisimiut og Maniitsoq her samarbejder forældrene aktivt sammen med deres børn i forhold til at løse nogle problemer der ikke direkte har noget med det faglige at gøre men som påvirker børnenes skolegang negativt.</w:t>
      </w:r>
    </w:p>
    <w:p w:rsidR="004D7479" w:rsidRPr="00821AF6" w:rsidRDefault="004D7479" w:rsidP="004D7479">
      <w:pPr>
        <w:rPr>
          <w:szCs w:val="24"/>
        </w:rPr>
      </w:pPr>
      <w:r w:rsidRPr="00821AF6">
        <w:rPr>
          <w:szCs w:val="24"/>
        </w:rPr>
        <w:t xml:space="preserve">Som en del af kommunens indsats på det sociale område har man oprettet 7 delprojekter under titlen” Det gode liv hele livet” som startede på baggrund af en rejserapport fra Børnetalsmanden. Et af disse delprojekter har forældreansvar som emne og hvor Område for Velfærd og Område for Uddannelse samarbejder om forskellige tiltag vedr. forældreevne og ansvar.  </w:t>
      </w:r>
    </w:p>
    <w:p w:rsidR="004D7479" w:rsidRPr="00821AF6" w:rsidRDefault="004D7479" w:rsidP="004D7479">
      <w:pPr>
        <w:rPr>
          <w:szCs w:val="24"/>
        </w:rPr>
      </w:pPr>
      <w:r w:rsidRPr="00821AF6">
        <w:rPr>
          <w:szCs w:val="24"/>
        </w:rPr>
        <w:t xml:space="preserve">På de 3 </w:t>
      </w:r>
      <w:proofErr w:type="spellStart"/>
      <w:r w:rsidRPr="00821AF6">
        <w:rPr>
          <w:szCs w:val="24"/>
        </w:rPr>
        <w:t>byskoler</w:t>
      </w:r>
      <w:proofErr w:type="spellEnd"/>
      <w:r w:rsidRPr="00821AF6">
        <w:rPr>
          <w:szCs w:val="24"/>
        </w:rPr>
        <w:t xml:space="preserve"> i Sisimiut og Maniitsoq er der ansat en skolekonsulent, der har fokus på hvordan skole-hjemsamarbejdet skal styrkes på den enkelte skole. Skolekonsulenterne har deltaget ved skolernes arrangementer og forskellige typer af skole-hjem-møder og dermed har fået et billede af hvilke møder, som er lykkedes, som kommunen kan arbejde videre med.</w:t>
      </w:r>
    </w:p>
    <w:p w:rsidR="004D7479" w:rsidRPr="00821AF6" w:rsidRDefault="004D7479" w:rsidP="004D7479">
      <w:pPr>
        <w:rPr>
          <w:szCs w:val="24"/>
        </w:rPr>
      </w:pPr>
    </w:p>
    <w:p w:rsidR="004D7479" w:rsidRPr="00821AF6" w:rsidRDefault="004D7479" w:rsidP="004D7479">
      <w:pPr>
        <w:autoSpaceDE w:val="0"/>
        <w:autoSpaceDN w:val="0"/>
        <w:adjustRightInd w:val="0"/>
        <w:rPr>
          <w:szCs w:val="24"/>
        </w:rPr>
      </w:pPr>
      <w:r w:rsidRPr="00821AF6">
        <w:rPr>
          <w:szCs w:val="24"/>
        </w:rPr>
        <w:t>Skolekonsulenter samt skoleledere foreslår herved at folkeskoler i Qeqqata Kommunia skal arbejde med følgende:</w:t>
      </w:r>
    </w:p>
    <w:p w:rsidR="004D7479" w:rsidRPr="00821AF6" w:rsidRDefault="004D7479" w:rsidP="004D7479">
      <w:pPr>
        <w:pStyle w:val="Listeafsnit"/>
        <w:numPr>
          <w:ilvl w:val="0"/>
          <w:numId w:val="38"/>
        </w:numPr>
        <w:tabs>
          <w:tab w:val="clear" w:pos="284"/>
        </w:tabs>
        <w:spacing w:after="160" w:line="259" w:lineRule="auto"/>
        <w:rPr>
          <w:szCs w:val="24"/>
        </w:rPr>
      </w:pPr>
      <w:r w:rsidRPr="00821AF6">
        <w:rPr>
          <w:szCs w:val="24"/>
        </w:rPr>
        <w:t>Skoleledelsen prioriterer samarbejdet og ledelsen signalerer klart til lærerne at samarbejdet har høj prioriteret og sikrer en fælles tilgang til skole-hjemsamarbejdet og udvikle lærernes kommunikation med forældre og den måde at henvende sig til forældre på</w:t>
      </w:r>
    </w:p>
    <w:p w:rsidR="004D7479" w:rsidRPr="00821AF6" w:rsidRDefault="004D7479" w:rsidP="004D7479">
      <w:pPr>
        <w:pStyle w:val="Listeafsnit"/>
        <w:numPr>
          <w:ilvl w:val="0"/>
          <w:numId w:val="38"/>
        </w:numPr>
        <w:tabs>
          <w:tab w:val="clear" w:pos="284"/>
        </w:tabs>
        <w:autoSpaceDE w:val="0"/>
        <w:autoSpaceDN w:val="0"/>
        <w:adjustRightInd w:val="0"/>
        <w:rPr>
          <w:szCs w:val="24"/>
        </w:rPr>
      </w:pPr>
      <w:r w:rsidRPr="00821AF6">
        <w:rPr>
          <w:szCs w:val="24"/>
        </w:rPr>
        <w:t xml:space="preserve">Skolebestyrelsen fastsætter </w:t>
      </w:r>
      <w:proofErr w:type="spellStart"/>
      <w:r w:rsidRPr="00821AF6">
        <w:rPr>
          <w:szCs w:val="24"/>
        </w:rPr>
        <w:t>retningslinier</w:t>
      </w:r>
      <w:proofErr w:type="spellEnd"/>
      <w:r w:rsidRPr="00821AF6">
        <w:rPr>
          <w:szCs w:val="24"/>
        </w:rPr>
        <w:t xml:space="preserve"> og disse kommunikeres ud</w:t>
      </w:r>
    </w:p>
    <w:p w:rsidR="004D7479" w:rsidRPr="00821AF6" w:rsidRDefault="004D7479" w:rsidP="004D7479">
      <w:pPr>
        <w:pStyle w:val="Listeafsnit"/>
        <w:numPr>
          <w:ilvl w:val="0"/>
          <w:numId w:val="38"/>
        </w:numPr>
        <w:tabs>
          <w:tab w:val="clear" w:pos="284"/>
        </w:tabs>
        <w:spacing w:after="160" w:line="259" w:lineRule="auto"/>
        <w:rPr>
          <w:szCs w:val="24"/>
        </w:rPr>
      </w:pPr>
      <w:r w:rsidRPr="00821AF6">
        <w:rPr>
          <w:szCs w:val="24"/>
        </w:rPr>
        <w:t>Samarbejdets aktiviteter skal rammesættes tydeligt og der sikres at der er opfølgning i form af at alle forældre modtager referat fra møderne</w:t>
      </w:r>
    </w:p>
    <w:p w:rsidR="004D7479" w:rsidRPr="00821AF6" w:rsidRDefault="004D7479" w:rsidP="004D7479">
      <w:pPr>
        <w:pStyle w:val="Listeafsnit"/>
        <w:numPr>
          <w:ilvl w:val="0"/>
          <w:numId w:val="38"/>
        </w:numPr>
        <w:tabs>
          <w:tab w:val="clear" w:pos="284"/>
        </w:tabs>
        <w:spacing w:after="160" w:line="259" w:lineRule="auto"/>
        <w:rPr>
          <w:szCs w:val="24"/>
        </w:rPr>
      </w:pPr>
      <w:r w:rsidRPr="00821AF6">
        <w:rPr>
          <w:szCs w:val="24"/>
        </w:rPr>
        <w:t xml:space="preserve">I og med at skolen og forældrene har forskellige roller, sørger skolen for at konkretisere forældrenes rolle </w:t>
      </w:r>
    </w:p>
    <w:p w:rsidR="004D7479" w:rsidRPr="00821AF6" w:rsidRDefault="004D7479" w:rsidP="004D7479">
      <w:pPr>
        <w:pStyle w:val="Listeafsnit"/>
        <w:numPr>
          <w:ilvl w:val="0"/>
          <w:numId w:val="38"/>
        </w:numPr>
        <w:tabs>
          <w:tab w:val="clear" w:pos="284"/>
        </w:tabs>
        <w:spacing w:after="160" w:line="259" w:lineRule="auto"/>
        <w:rPr>
          <w:szCs w:val="24"/>
        </w:rPr>
      </w:pPr>
      <w:r w:rsidRPr="00821AF6">
        <w:rPr>
          <w:szCs w:val="24"/>
        </w:rPr>
        <w:t>Skolestart arrangementer skal skabe fælles fundament for samarbejde og fællesskab</w:t>
      </w:r>
    </w:p>
    <w:p w:rsidR="004D7479" w:rsidRPr="00821AF6" w:rsidRDefault="004D7479" w:rsidP="004D7479">
      <w:pPr>
        <w:pStyle w:val="Listeafsnit"/>
        <w:numPr>
          <w:ilvl w:val="0"/>
          <w:numId w:val="38"/>
        </w:numPr>
        <w:tabs>
          <w:tab w:val="clear" w:pos="284"/>
        </w:tabs>
        <w:autoSpaceDE w:val="0"/>
        <w:autoSpaceDN w:val="0"/>
        <w:adjustRightInd w:val="0"/>
        <w:rPr>
          <w:szCs w:val="24"/>
        </w:rPr>
      </w:pPr>
      <w:r w:rsidRPr="00821AF6">
        <w:rPr>
          <w:szCs w:val="24"/>
        </w:rPr>
        <w:t>Samarbejdet med forældrene differentieres, så det imødekommer forældrenes forskelligheder (forskellige typer af arrangementer, som skabes fællesskabet)</w:t>
      </w:r>
    </w:p>
    <w:p w:rsidR="004D7479" w:rsidRPr="00821AF6" w:rsidRDefault="004D7479" w:rsidP="004D7479">
      <w:pPr>
        <w:pStyle w:val="Listeafsnit"/>
        <w:numPr>
          <w:ilvl w:val="0"/>
          <w:numId w:val="38"/>
        </w:numPr>
        <w:tabs>
          <w:tab w:val="clear" w:pos="284"/>
        </w:tabs>
        <w:spacing w:after="160" w:line="259" w:lineRule="auto"/>
        <w:rPr>
          <w:szCs w:val="24"/>
        </w:rPr>
      </w:pPr>
      <w:r w:rsidRPr="00821AF6">
        <w:rPr>
          <w:szCs w:val="24"/>
        </w:rPr>
        <w:t>Der udvikles åbne arrangementer, hvor Området for Velfærd inddrages fx familiecentret og andre sektorer eller afdelinger deltager aktivt i arrangementer, f.eks. for at give personlig rådgivning til forældre og elever.</w:t>
      </w:r>
    </w:p>
    <w:p w:rsidR="004D7479" w:rsidRPr="00821AF6" w:rsidRDefault="004D7479" w:rsidP="004D7479">
      <w:pPr>
        <w:rPr>
          <w:u w:val="single"/>
        </w:rPr>
      </w:pPr>
    </w:p>
    <w:p w:rsidR="004D7479" w:rsidRDefault="004D7479">
      <w:pPr>
        <w:tabs>
          <w:tab w:val="clear" w:pos="284"/>
        </w:tabs>
        <w:spacing w:after="160" w:line="259" w:lineRule="auto"/>
        <w:rPr>
          <w:szCs w:val="24"/>
          <w:u w:val="single"/>
        </w:rPr>
      </w:pPr>
      <w:r>
        <w:rPr>
          <w:szCs w:val="24"/>
          <w:u w:val="single"/>
        </w:rPr>
        <w:br w:type="page"/>
      </w:r>
    </w:p>
    <w:p w:rsidR="004D7479" w:rsidRPr="00821AF6" w:rsidRDefault="004D7479" w:rsidP="004D7479">
      <w:pPr>
        <w:rPr>
          <w:szCs w:val="24"/>
          <w:u w:val="single"/>
        </w:rPr>
      </w:pPr>
      <w:r w:rsidRPr="00821AF6">
        <w:rPr>
          <w:szCs w:val="24"/>
          <w:u w:val="single"/>
        </w:rPr>
        <w:lastRenderedPageBreak/>
        <w:t>Bæredygtige konsekvenser</w:t>
      </w:r>
    </w:p>
    <w:p w:rsidR="004D7479" w:rsidRPr="00821AF6" w:rsidRDefault="004D7479" w:rsidP="004D7479">
      <w:pPr>
        <w:rPr>
          <w:szCs w:val="24"/>
        </w:rPr>
      </w:pPr>
      <w:r w:rsidRPr="00821AF6">
        <w:rPr>
          <w:szCs w:val="24"/>
        </w:rPr>
        <w:t>Når forældre støtter deres børns skolegang er der større chance for at børnene klarer sig bedre i folkeskolen.</w:t>
      </w:r>
    </w:p>
    <w:p w:rsidR="004D7479" w:rsidRPr="00821AF6" w:rsidRDefault="004D7479" w:rsidP="004D7479">
      <w:pPr>
        <w:rPr>
          <w:szCs w:val="24"/>
        </w:rPr>
      </w:pPr>
    </w:p>
    <w:p w:rsidR="004D7479" w:rsidRPr="00821AF6" w:rsidRDefault="004D7479" w:rsidP="004D7479">
      <w:pPr>
        <w:rPr>
          <w:szCs w:val="24"/>
        </w:rPr>
      </w:pPr>
    </w:p>
    <w:p w:rsidR="004D7479" w:rsidRPr="00821AF6" w:rsidRDefault="004D7479" w:rsidP="004D7479">
      <w:pPr>
        <w:rPr>
          <w:szCs w:val="24"/>
          <w:u w:val="single"/>
        </w:rPr>
      </w:pPr>
      <w:r w:rsidRPr="00821AF6">
        <w:rPr>
          <w:szCs w:val="24"/>
          <w:u w:val="single"/>
        </w:rPr>
        <w:t>Økonomiske og administrative konsekvenser</w:t>
      </w:r>
    </w:p>
    <w:p w:rsidR="004D7479" w:rsidRPr="00821AF6" w:rsidRDefault="004D7479" w:rsidP="004D7479">
      <w:pPr>
        <w:rPr>
          <w:szCs w:val="24"/>
        </w:rPr>
      </w:pPr>
      <w:r w:rsidRPr="00821AF6">
        <w:rPr>
          <w:szCs w:val="24"/>
        </w:rPr>
        <w:t>Ingen økonomiske konsekvenser</w:t>
      </w:r>
    </w:p>
    <w:p w:rsidR="004D7479" w:rsidRPr="00821AF6" w:rsidRDefault="004D7479" w:rsidP="004D7479">
      <w:pPr>
        <w:rPr>
          <w:szCs w:val="24"/>
        </w:rPr>
      </w:pPr>
    </w:p>
    <w:p w:rsidR="004D7479" w:rsidRPr="00821AF6" w:rsidRDefault="004D7479" w:rsidP="004D7479">
      <w:pPr>
        <w:rPr>
          <w:szCs w:val="24"/>
          <w:u w:val="single"/>
        </w:rPr>
      </w:pPr>
      <w:r w:rsidRPr="00821AF6">
        <w:rPr>
          <w:szCs w:val="24"/>
          <w:u w:val="single"/>
        </w:rPr>
        <w:t>Administrationens vurdering</w:t>
      </w:r>
    </w:p>
    <w:p w:rsidR="004D7479" w:rsidRPr="00821AF6" w:rsidRDefault="004D7479" w:rsidP="004D7479">
      <w:r w:rsidRPr="00821AF6">
        <w:rPr>
          <w:szCs w:val="24"/>
        </w:rPr>
        <w:t xml:space="preserve">Det er administrationens vurdering at der fokuseres på, hvordan man deler gode erfaringer fra de forskellige skoler i forhold til at inddrage og ansvarliggøre forældrene. Desuden bør fremtidige løsninger bygge videre på eller kordineres sammen med eksisterende tiltag i kommunen. Når der igangsættes nye tiltag bør det ske i tæt samarbejde med de aktører, der til daglig arbejder med at styrke forældresamarbejdet for at undgå at man overlapper hinanden og for at sikre at nye tiltag bearbejdes gennem bredt samarbejde. </w:t>
      </w:r>
    </w:p>
    <w:p w:rsidR="004D7479" w:rsidRPr="00821AF6" w:rsidRDefault="004D7479" w:rsidP="004D7479">
      <w:pPr>
        <w:rPr>
          <w:szCs w:val="24"/>
        </w:rPr>
      </w:pPr>
    </w:p>
    <w:p w:rsidR="004D7479" w:rsidRPr="00821AF6" w:rsidRDefault="004D7479" w:rsidP="004D7479"/>
    <w:p w:rsidR="004D7479" w:rsidRPr="00821AF6" w:rsidRDefault="004D7479" w:rsidP="004D7479"/>
    <w:p w:rsidR="004D7479" w:rsidRPr="00821AF6" w:rsidRDefault="004D7479" w:rsidP="004D7479"/>
    <w:p w:rsidR="004D7479" w:rsidRPr="00821AF6" w:rsidRDefault="004D7479" w:rsidP="004D7479">
      <w:pPr>
        <w:rPr>
          <w:b/>
        </w:rPr>
      </w:pPr>
      <w:r w:rsidRPr="00821AF6">
        <w:rPr>
          <w:b/>
        </w:rPr>
        <w:t>Indstilling</w:t>
      </w:r>
    </w:p>
    <w:p w:rsidR="004D7479" w:rsidRPr="00821AF6" w:rsidRDefault="004D7479" w:rsidP="004D7479">
      <w:r w:rsidRPr="00821AF6">
        <w:t>Administration indstiller at Udvalget for Uddannelse godkender, at skolekonsulenter samler et handlingskatalog og efterfølgende får indarbejdet skole-hjem-politikker og handleplaner på de enkelte skoler</w:t>
      </w:r>
    </w:p>
    <w:p w:rsidR="004D7479" w:rsidRPr="00821AF6" w:rsidRDefault="004D7479" w:rsidP="004D7479"/>
    <w:p w:rsidR="004D7479" w:rsidRPr="00821AF6" w:rsidRDefault="004D7479" w:rsidP="004D7479"/>
    <w:p w:rsidR="004D7479" w:rsidRPr="00821AF6" w:rsidRDefault="004D7479" w:rsidP="004D7479">
      <w:pPr>
        <w:rPr>
          <w:b/>
        </w:rPr>
      </w:pPr>
      <w:r w:rsidRPr="00821AF6">
        <w:rPr>
          <w:b/>
        </w:rPr>
        <w:t>Afgørelse</w:t>
      </w:r>
    </w:p>
    <w:p w:rsidR="004D7479" w:rsidRDefault="004D7479" w:rsidP="004D7479"/>
    <w:p w:rsidR="00AA07A2" w:rsidRPr="00AA07A2" w:rsidRDefault="00AA07A2" w:rsidP="00AA07A2">
      <w:pPr>
        <w:rPr>
          <w:rFonts w:ascii="Arial" w:hAnsi="Arial" w:cs="Arial"/>
          <w:szCs w:val="24"/>
          <w:lang w:val="kl-GL"/>
        </w:rPr>
      </w:pPr>
      <w:r w:rsidRPr="00AA07A2">
        <w:rPr>
          <w:rFonts w:ascii="Arial" w:hAnsi="Arial" w:cs="Arial"/>
          <w:szCs w:val="24"/>
          <w:lang w:val="kl-GL"/>
        </w:rPr>
        <w:t>Indstillingen godkendt.</w:t>
      </w:r>
    </w:p>
    <w:p w:rsidR="00AA07A2" w:rsidRPr="00AA07A2" w:rsidRDefault="00AA07A2" w:rsidP="00AA07A2">
      <w:r w:rsidRPr="00AA07A2">
        <w:rPr>
          <w:rFonts w:ascii="Arial" w:hAnsi="Arial" w:cs="Arial"/>
          <w:szCs w:val="24"/>
          <w:lang w:val="kl-GL"/>
        </w:rPr>
        <w:t>Enkelte medlemmer skriver til Annga Lynge, hvis de har noget at tilføje.</w:t>
      </w:r>
    </w:p>
    <w:p w:rsidR="004D7479" w:rsidRPr="00821AF6" w:rsidRDefault="004D7479" w:rsidP="004D7479">
      <w:pPr>
        <w:rPr>
          <w:bCs/>
        </w:rPr>
      </w:pPr>
    </w:p>
    <w:p w:rsidR="004D7479" w:rsidRPr="00821AF6" w:rsidRDefault="004D7479" w:rsidP="004D7479">
      <w:pPr>
        <w:rPr>
          <w:b/>
        </w:rPr>
      </w:pPr>
      <w:r w:rsidRPr="00821AF6">
        <w:rPr>
          <w:b/>
        </w:rPr>
        <w:t>Bilag</w:t>
      </w:r>
    </w:p>
    <w:p w:rsidR="004D7479" w:rsidRPr="00821AF6" w:rsidRDefault="004D7479" w:rsidP="004D7479">
      <w:pPr>
        <w:rPr>
          <w:b/>
        </w:rPr>
      </w:pPr>
      <w:r w:rsidRPr="00821AF6">
        <w:rPr>
          <w:szCs w:val="24"/>
          <w:lang w:eastAsia="ja-JP"/>
        </w:rPr>
        <w:t>Forslag til dagsorden- drøftelse af forældreansvar i folkeskolen</w:t>
      </w:r>
    </w:p>
    <w:p w:rsidR="004D7479" w:rsidRDefault="004D7479" w:rsidP="00CB6A14">
      <w:pPr>
        <w:tabs>
          <w:tab w:val="clear" w:pos="284"/>
        </w:tabs>
        <w:spacing w:after="160" w:line="259" w:lineRule="auto"/>
        <w:rPr>
          <w:b/>
          <w:sz w:val="28"/>
          <w:szCs w:val="28"/>
          <w:u w:val="single"/>
        </w:rPr>
      </w:pPr>
    </w:p>
    <w:p w:rsidR="009F5D4A" w:rsidRDefault="00445DFA" w:rsidP="009F5D4A">
      <w:pPr>
        <w:pStyle w:val="Punkt0"/>
        <w:ind w:left="1134" w:hanging="1134"/>
        <w:rPr>
          <w:bCs/>
          <w:szCs w:val="24"/>
        </w:rPr>
      </w:pPr>
      <w:r>
        <w:rPr>
          <w:szCs w:val="24"/>
          <w:lang w:eastAsia="ja-JP"/>
        </w:rPr>
        <w:softHyphen/>
      </w:r>
      <w:r w:rsidR="009F5D4A" w:rsidRPr="009F5D4A">
        <w:rPr>
          <w:bCs/>
          <w:szCs w:val="24"/>
        </w:rPr>
        <w:t xml:space="preserve"> </w:t>
      </w:r>
    </w:p>
    <w:p w:rsidR="009F5D4A" w:rsidRDefault="009F5D4A">
      <w:pPr>
        <w:tabs>
          <w:tab w:val="clear" w:pos="284"/>
        </w:tabs>
        <w:spacing w:after="160" w:line="259" w:lineRule="auto"/>
        <w:rPr>
          <w:b/>
          <w:bCs/>
          <w:szCs w:val="24"/>
          <w:u w:val="single"/>
          <w:lang w:bidi="da-DK"/>
        </w:rPr>
      </w:pPr>
      <w:r>
        <w:rPr>
          <w:bCs/>
          <w:szCs w:val="24"/>
        </w:rPr>
        <w:br w:type="page"/>
      </w:r>
    </w:p>
    <w:p w:rsidR="009F5D4A" w:rsidRPr="009F5D4A" w:rsidRDefault="009F5D4A" w:rsidP="009F5D4A">
      <w:pPr>
        <w:pStyle w:val="Punkt0"/>
        <w:ind w:left="1134" w:hanging="1134"/>
        <w:rPr>
          <w:bCs/>
          <w:szCs w:val="24"/>
          <w:u w:val="none"/>
        </w:rPr>
      </w:pPr>
      <w:r w:rsidRPr="009F5D4A">
        <w:rPr>
          <w:bCs/>
          <w:szCs w:val="24"/>
          <w:u w:val="none"/>
        </w:rPr>
        <w:lastRenderedPageBreak/>
        <w:t xml:space="preserve">Punkt 06 Forslag til regler ved leje af den gamle kirke i Maniitsoq samt </w:t>
      </w:r>
      <w:proofErr w:type="spellStart"/>
      <w:r w:rsidRPr="009F5D4A">
        <w:rPr>
          <w:bCs/>
          <w:szCs w:val="24"/>
          <w:u w:val="none"/>
        </w:rPr>
        <w:t>Amerloq</w:t>
      </w:r>
      <w:proofErr w:type="spellEnd"/>
      <w:r w:rsidRPr="009F5D4A">
        <w:rPr>
          <w:bCs/>
          <w:szCs w:val="24"/>
          <w:u w:val="none"/>
        </w:rPr>
        <w:t xml:space="preserve"> i Sisimiut.</w:t>
      </w:r>
    </w:p>
    <w:p w:rsidR="009F5D4A" w:rsidRPr="009F5D4A" w:rsidRDefault="009F5D4A" w:rsidP="009F5D4A">
      <w:pPr>
        <w:pStyle w:val="Overskrift2"/>
        <w:rPr>
          <w:color w:val="auto"/>
        </w:rPr>
      </w:pPr>
      <w:proofErr w:type="spellStart"/>
      <w:r w:rsidRPr="009F5D4A">
        <w:rPr>
          <w:color w:val="auto"/>
        </w:rPr>
        <w:t>Journalnr</w:t>
      </w:r>
      <w:proofErr w:type="spellEnd"/>
      <w:r w:rsidRPr="009F5D4A">
        <w:rPr>
          <w:color w:val="auto"/>
        </w:rPr>
        <w:t xml:space="preserve"> 58.01.50</w:t>
      </w:r>
    </w:p>
    <w:p w:rsidR="009F5D4A" w:rsidRPr="009F5D4A" w:rsidRDefault="009F5D4A" w:rsidP="009F5D4A">
      <w:pPr>
        <w:pStyle w:val="Overskrift3"/>
        <w:rPr>
          <w:color w:val="auto"/>
        </w:rPr>
      </w:pPr>
      <w:r w:rsidRPr="009F5D4A">
        <w:rPr>
          <w:color w:val="auto"/>
        </w:rPr>
        <w:t>Baggrund</w:t>
      </w:r>
    </w:p>
    <w:p w:rsidR="009F5D4A" w:rsidRPr="009F5D4A" w:rsidRDefault="009F5D4A" w:rsidP="009F5D4A">
      <w:r w:rsidRPr="009F5D4A">
        <w:t xml:space="preserve">Under en ugentlig møde under Området for Uddannelse, var der et forslag om eventuelt oprettelse af ordensregler for udlejning af den gamle Kirke, hvor man blev enige om at udarbejde et forslag til afgørelse under Udvalg for Uddannelse, Sundhed, Fritid og Kultur. Det samme med </w:t>
      </w:r>
      <w:proofErr w:type="spellStart"/>
      <w:r w:rsidRPr="009F5D4A">
        <w:t>Amerloq</w:t>
      </w:r>
      <w:proofErr w:type="spellEnd"/>
      <w:r w:rsidRPr="009F5D4A">
        <w:t xml:space="preserve"> i Sisimiut (den gamle forsamlingshus) som drives på lignende måde, der anmodes om at få lavet et forslag om harmonisering af reglerne.</w:t>
      </w:r>
    </w:p>
    <w:p w:rsidR="009F5D4A" w:rsidRPr="009F5D4A" w:rsidRDefault="009F5D4A" w:rsidP="009F5D4A"/>
    <w:p w:rsidR="009F5D4A" w:rsidRPr="009F5D4A" w:rsidRDefault="009F5D4A" w:rsidP="009F5D4A">
      <w:pPr>
        <w:pStyle w:val="Overskrift3"/>
        <w:rPr>
          <w:color w:val="auto"/>
        </w:rPr>
      </w:pPr>
      <w:r w:rsidRPr="009F5D4A">
        <w:rPr>
          <w:color w:val="auto"/>
        </w:rPr>
        <w:t xml:space="preserve">Regelgrundlag </w:t>
      </w:r>
    </w:p>
    <w:p w:rsidR="009F5D4A" w:rsidRPr="009F5D4A" w:rsidRDefault="009F5D4A" w:rsidP="009F5D4A">
      <w:proofErr w:type="spellStart"/>
      <w:r w:rsidRPr="009F5D4A">
        <w:t>Inatsisartutlov</w:t>
      </w:r>
      <w:proofErr w:type="spellEnd"/>
      <w:r w:rsidRPr="009F5D4A">
        <w:t xml:space="preserve"> nr. 5 af 6. juni 2016 om kultur- og fritidsvirksomhed.</w:t>
      </w:r>
    </w:p>
    <w:p w:rsidR="009F5D4A" w:rsidRPr="009F5D4A" w:rsidRDefault="009F5D4A" w:rsidP="009F5D4A">
      <w:pPr>
        <w:pStyle w:val="Sidefod"/>
        <w:tabs>
          <w:tab w:val="clear" w:pos="4819"/>
          <w:tab w:val="clear" w:pos="9638"/>
        </w:tabs>
      </w:pPr>
    </w:p>
    <w:p w:rsidR="009F5D4A" w:rsidRPr="009F5D4A" w:rsidRDefault="009F5D4A" w:rsidP="009F5D4A">
      <w:pPr>
        <w:pStyle w:val="Overskrift3"/>
        <w:rPr>
          <w:color w:val="auto"/>
        </w:rPr>
      </w:pPr>
      <w:r w:rsidRPr="009F5D4A">
        <w:rPr>
          <w:color w:val="auto"/>
        </w:rPr>
        <w:t>Faktiske forhold</w:t>
      </w:r>
    </w:p>
    <w:p w:rsidR="009F5D4A" w:rsidRPr="009F5D4A" w:rsidRDefault="009F5D4A" w:rsidP="009F5D4A">
      <w:r w:rsidRPr="009F5D4A">
        <w:t xml:space="preserve">Den gamle kirke, der er lavet af sten og mursten blev </w:t>
      </w:r>
      <w:proofErr w:type="spellStart"/>
      <w:r w:rsidRPr="009F5D4A">
        <w:t>indvidet</w:t>
      </w:r>
      <w:proofErr w:type="spellEnd"/>
      <w:r w:rsidRPr="009F5D4A">
        <w:t xml:space="preserve"> i foråret 1864. Den er ligeledes den største bygget af denne art, og den blev af Grønlands Nationalmuseum registreret som fredet, da den ikke længere blev benyttet som en kirke.</w:t>
      </w:r>
    </w:p>
    <w:p w:rsidR="009F5D4A" w:rsidRPr="009F5D4A" w:rsidRDefault="009F5D4A" w:rsidP="009F5D4A">
      <w:r w:rsidRPr="009F5D4A">
        <w:t xml:space="preserve">Den nye Kirke i Maniitsoq blev indviet i 1981, og den gamle kirke blev efter mange år overdraget til daværende </w:t>
      </w:r>
      <w:proofErr w:type="spellStart"/>
      <w:r w:rsidRPr="009F5D4A">
        <w:t>Maniitsup</w:t>
      </w:r>
      <w:proofErr w:type="spellEnd"/>
      <w:r w:rsidRPr="009F5D4A">
        <w:t xml:space="preserve"> Kommunia, </w:t>
      </w:r>
    </w:p>
    <w:p w:rsidR="009F5D4A" w:rsidRPr="009F5D4A" w:rsidRDefault="009F5D4A" w:rsidP="009F5D4A">
      <w:r w:rsidRPr="009F5D4A">
        <w:t>Den blev i 1990 omfattende renoveret og istandsat, hvor de indvendige vægge, gulvet og loftet blev genskabt, men loftet ovenpå er ikke istandsat som tidligere, hvor der i dag ikke er lagt gulvbrædder og vægge har ingen isolation. Kirkens indbo er registreret som bevaringsfredet i museet.</w:t>
      </w:r>
    </w:p>
    <w:p w:rsidR="009F5D4A" w:rsidRPr="009F5D4A" w:rsidRDefault="009F5D4A" w:rsidP="009F5D4A">
      <w:r w:rsidRPr="009F5D4A">
        <w:t>Den blev i slutningen af 1990´erne benyttet som et mødelokale. Der blev anlagt WC i starten af 2000, og forbruget steg.</w:t>
      </w:r>
    </w:p>
    <w:p w:rsidR="009F5D4A" w:rsidRPr="009F5D4A" w:rsidRDefault="009F5D4A" w:rsidP="009F5D4A"/>
    <w:p w:rsidR="009F5D4A" w:rsidRPr="009F5D4A" w:rsidRDefault="009F5D4A" w:rsidP="009F5D4A">
      <w:r w:rsidRPr="009F5D4A">
        <w:t xml:space="preserve">Den centrale beliggenhed gør, at den ikke udelukkende benyttes til møder, hvor den også bliver benyttet som et salgssted af kunstnere og håndarbejde, til foreningernes Caféarrangementer i indsamlingsøjemed, foreningers kaffemik i forbindelse med jubilæer, sjældent til sundhedstjek af borgere, og endeligt af </w:t>
      </w:r>
      <w:proofErr w:type="spellStart"/>
      <w:r w:rsidRPr="009F5D4A">
        <w:t>Naalakkersuisut</w:t>
      </w:r>
      <w:proofErr w:type="spellEnd"/>
      <w:r w:rsidRPr="009F5D4A">
        <w:t xml:space="preserve"> og Selvstyret til borgermøder. Den benyttes endvidere til kurser, hvor den, nu her i foråret, blev benyttet til behandling for unge om formiddagen.</w:t>
      </w:r>
    </w:p>
    <w:p w:rsidR="009F5D4A" w:rsidRPr="009F5D4A" w:rsidRDefault="009F5D4A" w:rsidP="009F5D4A">
      <w:r w:rsidRPr="009F5D4A">
        <w:t>Partierne ønsker ellers at benyttet den til forsamling i forbindelse med valg til Landstinget, Kommune eller Dansk folketing, men der gives afslag.</w:t>
      </w:r>
    </w:p>
    <w:p w:rsidR="009F5D4A" w:rsidRPr="009F5D4A" w:rsidRDefault="009F5D4A" w:rsidP="009F5D4A">
      <w:r w:rsidRPr="009F5D4A">
        <w:t>Her til foråret skal KS-69 Langrendsforeningen benytte den gamle kirke som et spise- og mødested under GM.</w:t>
      </w:r>
    </w:p>
    <w:p w:rsidR="009F5D4A" w:rsidRPr="009F5D4A" w:rsidRDefault="009F5D4A" w:rsidP="009F5D4A"/>
    <w:p w:rsidR="009F5D4A" w:rsidRPr="009F5D4A" w:rsidRDefault="009F5D4A" w:rsidP="009F5D4A">
      <w:r w:rsidRPr="009F5D4A">
        <w:t xml:space="preserve">Rengøringen af den gamle kirke, er inkluderet i rengøringsaftalen for </w:t>
      </w:r>
      <w:proofErr w:type="spellStart"/>
      <w:r w:rsidRPr="009F5D4A">
        <w:t>Atuarfik</w:t>
      </w:r>
      <w:proofErr w:type="spellEnd"/>
      <w:r w:rsidRPr="009F5D4A">
        <w:t xml:space="preserve"> </w:t>
      </w:r>
      <w:proofErr w:type="spellStart"/>
      <w:r w:rsidRPr="009F5D4A">
        <w:t>Kilaaseeraq</w:t>
      </w:r>
      <w:proofErr w:type="spellEnd"/>
      <w:r w:rsidRPr="009F5D4A">
        <w:t xml:space="preserve">. I 2017 blev gulvet overdækket med kalk i samarbejde med Nationalmuseet og </w:t>
      </w:r>
      <w:proofErr w:type="spellStart"/>
      <w:r w:rsidRPr="009F5D4A">
        <w:t>Nunatta</w:t>
      </w:r>
      <w:proofErr w:type="spellEnd"/>
      <w:r w:rsidRPr="009F5D4A">
        <w:t xml:space="preserve"> </w:t>
      </w:r>
      <w:proofErr w:type="spellStart"/>
      <w:r w:rsidRPr="009F5D4A">
        <w:t>Atuagaateqarfia</w:t>
      </w:r>
      <w:proofErr w:type="spellEnd"/>
      <w:r w:rsidRPr="009F5D4A">
        <w:t xml:space="preserve">, med det formål, at den blev mere vaskbar. </w:t>
      </w:r>
    </w:p>
    <w:p w:rsidR="009F5D4A" w:rsidRPr="009F5D4A" w:rsidRDefault="009F5D4A" w:rsidP="009F5D4A"/>
    <w:p w:rsidR="009F5D4A" w:rsidRPr="009F5D4A" w:rsidRDefault="009F5D4A" w:rsidP="009F5D4A">
      <w:r w:rsidRPr="009F5D4A">
        <w:t>Strømforsyning til byens Juletræ sker via den gamle kirke.</w:t>
      </w:r>
    </w:p>
    <w:p w:rsidR="009F5D4A" w:rsidRPr="009F5D4A" w:rsidRDefault="009F5D4A" w:rsidP="009F5D4A">
      <w:r w:rsidRPr="009F5D4A">
        <w:t xml:space="preserve">I 2015 blev pærerne til lyset udskiftet til </w:t>
      </w:r>
      <w:proofErr w:type="spellStart"/>
      <w:r w:rsidRPr="009F5D4A">
        <w:t>sparepærer</w:t>
      </w:r>
      <w:proofErr w:type="spellEnd"/>
      <w:r w:rsidRPr="009F5D4A">
        <w:t>.</w:t>
      </w:r>
    </w:p>
    <w:p w:rsidR="009F5D4A" w:rsidRPr="009F5D4A" w:rsidRDefault="009F5D4A" w:rsidP="009F5D4A">
      <w:r w:rsidRPr="009F5D4A">
        <w:t>Udgiftsposter til den gamle kirke i kr.:</w:t>
      </w:r>
    </w:p>
    <w:p w:rsidR="009F5D4A" w:rsidRPr="009F5D4A" w:rsidRDefault="009F5D4A" w:rsidP="009F5D4A"/>
    <w:p w:rsidR="009F5D4A" w:rsidRPr="009F5D4A" w:rsidRDefault="009F5D4A" w:rsidP="009F5D4A"/>
    <w:tbl>
      <w:tblPr>
        <w:tblStyle w:val="Tabel-Gitter"/>
        <w:tblW w:w="0" w:type="auto"/>
        <w:tblLook w:val="04A0" w:firstRow="1" w:lastRow="0" w:firstColumn="1" w:lastColumn="0" w:noHBand="0" w:noVBand="1"/>
      </w:tblPr>
      <w:tblGrid>
        <w:gridCol w:w="704"/>
        <w:gridCol w:w="1276"/>
        <w:gridCol w:w="1559"/>
        <w:gridCol w:w="1559"/>
      </w:tblGrid>
      <w:tr w:rsidR="009F5D4A" w:rsidRPr="009F5D4A" w:rsidTr="00EF6D1C">
        <w:tc>
          <w:tcPr>
            <w:tcW w:w="704" w:type="dxa"/>
          </w:tcPr>
          <w:p w:rsidR="009F5D4A" w:rsidRPr="009F5D4A" w:rsidRDefault="009F5D4A" w:rsidP="00EF6D1C"/>
        </w:tc>
        <w:tc>
          <w:tcPr>
            <w:tcW w:w="1276" w:type="dxa"/>
          </w:tcPr>
          <w:p w:rsidR="009F5D4A" w:rsidRPr="009F5D4A" w:rsidRDefault="009F5D4A" w:rsidP="00EF6D1C">
            <w:r w:rsidRPr="009F5D4A">
              <w:t>Vand</w:t>
            </w:r>
          </w:p>
        </w:tc>
        <w:tc>
          <w:tcPr>
            <w:tcW w:w="1559" w:type="dxa"/>
          </w:tcPr>
          <w:p w:rsidR="009F5D4A" w:rsidRPr="009F5D4A" w:rsidRDefault="009F5D4A" w:rsidP="00EF6D1C">
            <w:r w:rsidRPr="009F5D4A">
              <w:t>El</w:t>
            </w:r>
          </w:p>
        </w:tc>
        <w:tc>
          <w:tcPr>
            <w:tcW w:w="1559" w:type="dxa"/>
          </w:tcPr>
          <w:p w:rsidR="009F5D4A" w:rsidRPr="009F5D4A" w:rsidRDefault="009F5D4A" w:rsidP="00EF6D1C">
            <w:r w:rsidRPr="009F5D4A">
              <w:t>Varme</w:t>
            </w:r>
          </w:p>
        </w:tc>
      </w:tr>
      <w:tr w:rsidR="009F5D4A" w:rsidRPr="009F5D4A" w:rsidTr="00EF6D1C">
        <w:tc>
          <w:tcPr>
            <w:tcW w:w="704" w:type="dxa"/>
          </w:tcPr>
          <w:p w:rsidR="009F5D4A" w:rsidRPr="009F5D4A" w:rsidRDefault="009F5D4A" w:rsidP="00EF6D1C">
            <w:r w:rsidRPr="009F5D4A">
              <w:t>2014</w:t>
            </w:r>
          </w:p>
        </w:tc>
        <w:tc>
          <w:tcPr>
            <w:tcW w:w="1276" w:type="dxa"/>
          </w:tcPr>
          <w:p w:rsidR="009F5D4A" w:rsidRPr="009F5D4A" w:rsidRDefault="009F5D4A" w:rsidP="00EF6D1C">
            <w:pPr>
              <w:jc w:val="right"/>
            </w:pPr>
            <w:r w:rsidRPr="009F5D4A">
              <w:t>892,00</w:t>
            </w:r>
          </w:p>
        </w:tc>
        <w:tc>
          <w:tcPr>
            <w:tcW w:w="1559" w:type="dxa"/>
          </w:tcPr>
          <w:p w:rsidR="009F5D4A" w:rsidRPr="009F5D4A" w:rsidRDefault="009F5D4A" w:rsidP="00EF6D1C">
            <w:pPr>
              <w:jc w:val="right"/>
            </w:pPr>
            <w:r w:rsidRPr="009F5D4A">
              <w:t>13.587,00</w:t>
            </w:r>
          </w:p>
        </w:tc>
        <w:tc>
          <w:tcPr>
            <w:tcW w:w="1559" w:type="dxa"/>
          </w:tcPr>
          <w:p w:rsidR="009F5D4A" w:rsidRPr="009F5D4A" w:rsidRDefault="009F5D4A" w:rsidP="00EF6D1C">
            <w:pPr>
              <w:jc w:val="right"/>
            </w:pPr>
            <w:r w:rsidRPr="009F5D4A">
              <w:t>39.949,00</w:t>
            </w:r>
          </w:p>
        </w:tc>
      </w:tr>
      <w:tr w:rsidR="009F5D4A" w:rsidRPr="009F5D4A" w:rsidTr="00EF6D1C">
        <w:tc>
          <w:tcPr>
            <w:tcW w:w="704" w:type="dxa"/>
          </w:tcPr>
          <w:p w:rsidR="009F5D4A" w:rsidRPr="009F5D4A" w:rsidRDefault="009F5D4A" w:rsidP="00EF6D1C">
            <w:r w:rsidRPr="009F5D4A">
              <w:t>2015</w:t>
            </w:r>
          </w:p>
        </w:tc>
        <w:tc>
          <w:tcPr>
            <w:tcW w:w="1276" w:type="dxa"/>
          </w:tcPr>
          <w:p w:rsidR="009F5D4A" w:rsidRPr="009F5D4A" w:rsidRDefault="009F5D4A" w:rsidP="00EF6D1C">
            <w:pPr>
              <w:jc w:val="right"/>
            </w:pPr>
            <w:r w:rsidRPr="009F5D4A">
              <w:t>642,56</w:t>
            </w:r>
          </w:p>
        </w:tc>
        <w:tc>
          <w:tcPr>
            <w:tcW w:w="1559" w:type="dxa"/>
          </w:tcPr>
          <w:p w:rsidR="009F5D4A" w:rsidRPr="009F5D4A" w:rsidRDefault="009F5D4A" w:rsidP="00EF6D1C">
            <w:pPr>
              <w:jc w:val="right"/>
            </w:pPr>
            <w:r w:rsidRPr="009F5D4A">
              <w:t>8.644,57</w:t>
            </w:r>
          </w:p>
        </w:tc>
        <w:tc>
          <w:tcPr>
            <w:tcW w:w="1559" w:type="dxa"/>
          </w:tcPr>
          <w:p w:rsidR="009F5D4A" w:rsidRPr="009F5D4A" w:rsidRDefault="009F5D4A" w:rsidP="00EF6D1C">
            <w:pPr>
              <w:jc w:val="right"/>
            </w:pPr>
            <w:r w:rsidRPr="009F5D4A">
              <w:t>42.256,18</w:t>
            </w:r>
          </w:p>
        </w:tc>
      </w:tr>
      <w:tr w:rsidR="009F5D4A" w:rsidRPr="009F5D4A" w:rsidTr="00EF6D1C">
        <w:tc>
          <w:tcPr>
            <w:tcW w:w="704" w:type="dxa"/>
          </w:tcPr>
          <w:p w:rsidR="009F5D4A" w:rsidRPr="009F5D4A" w:rsidRDefault="009F5D4A" w:rsidP="00EF6D1C">
            <w:r w:rsidRPr="009F5D4A">
              <w:lastRenderedPageBreak/>
              <w:t>2016</w:t>
            </w:r>
          </w:p>
        </w:tc>
        <w:tc>
          <w:tcPr>
            <w:tcW w:w="1276" w:type="dxa"/>
          </w:tcPr>
          <w:p w:rsidR="009F5D4A" w:rsidRPr="009F5D4A" w:rsidRDefault="009F5D4A" w:rsidP="00EF6D1C">
            <w:pPr>
              <w:jc w:val="right"/>
            </w:pPr>
            <w:r w:rsidRPr="009F5D4A">
              <w:t>966,53</w:t>
            </w:r>
          </w:p>
        </w:tc>
        <w:tc>
          <w:tcPr>
            <w:tcW w:w="1559" w:type="dxa"/>
          </w:tcPr>
          <w:p w:rsidR="009F5D4A" w:rsidRPr="009F5D4A" w:rsidRDefault="009F5D4A" w:rsidP="00EF6D1C">
            <w:pPr>
              <w:jc w:val="right"/>
            </w:pPr>
            <w:r w:rsidRPr="009F5D4A">
              <w:t>11.770,48</w:t>
            </w:r>
          </w:p>
        </w:tc>
        <w:tc>
          <w:tcPr>
            <w:tcW w:w="1559" w:type="dxa"/>
          </w:tcPr>
          <w:p w:rsidR="009F5D4A" w:rsidRPr="009F5D4A" w:rsidRDefault="009F5D4A" w:rsidP="00EF6D1C">
            <w:pPr>
              <w:jc w:val="right"/>
            </w:pPr>
            <w:r w:rsidRPr="009F5D4A">
              <w:t>37.359,17</w:t>
            </w:r>
          </w:p>
        </w:tc>
      </w:tr>
      <w:tr w:rsidR="009F5D4A" w:rsidRPr="009F5D4A" w:rsidTr="00EF6D1C">
        <w:tc>
          <w:tcPr>
            <w:tcW w:w="704" w:type="dxa"/>
          </w:tcPr>
          <w:p w:rsidR="009F5D4A" w:rsidRPr="009F5D4A" w:rsidRDefault="009F5D4A" w:rsidP="00EF6D1C">
            <w:r w:rsidRPr="009F5D4A">
              <w:t>2017</w:t>
            </w:r>
          </w:p>
        </w:tc>
        <w:tc>
          <w:tcPr>
            <w:tcW w:w="1276" w:type="dxa"/>
          </w:tcPr>
          <w:p w:rsidR="009F5D4A" w:rsidRPr="009F5D4A" w:rsidRDefault="009F5D4A" w:rsidP="00EF6D1C">
            <w:pPr>
              <w:jc w:val="right"/>
            </w:pPr>
            <w:r w:rsidRPr="009F5D4A">
              <w:t>828,01</w:t>
            </w:r>
          </w:p>
        </w:tc>
        <w:tc>
          <w:tcPr>
            <w:tcW w:w="1559" w:type="dxa"/>
          </w:tcPr>
          <w:p w:rsidR="009F5D4A" w:rsidRPr="009F5D4A" w:rsidRDefault="009F5D4A" w:rsidP="00EF6D1C">
            <w:pPr>
              <w:jc w:val="right"/>
            </w:pPr>
            <w:r w:rsidRPr="009F5D4A">
              <w:t>7.419,35</w:t>
            </w:r>
          </w:p>
        </w:tc>
        <w:tc>
          <w:tcPr>
            <w:tcW w:w="1559" w:type="dxa"/>
          </w:tcPr>
          <w:p w:rsidR="009F5D4A" w:rsidRPr="009F5D4A" w:rsidRDefault="009F5D4A" w:rsidP="00EF6D1C">
            <w:pPr>
              <w:jc w:val="right"/>
            </w:pPr>
            <w:r w:rsidRPr="009F5D4A">
              <w:t>30.767,38</w:t>
            </w:r>
          </w:p>
        </w:tc>
      </w:tr>
      <w:tr w:rsidR="009F5D4A" w:rsidRPr="009F5D4A" w:rsidTr="00EF6D1C">
        <w:tc>
          <w:tcPr>
            <w:tcW w:w="704" w:type="dxa"/>
          </w:tcPr>
          <w:p w:rsidR="009F5D4A" w:rsidRPr="009F5D4A" w:rsidRDefault="009F5D4A" w:rsidP="00EF6D1C">
            <w:r w:rsidRPr="009F5D4A">
              <w:t>2018</w:t>
            </w:r>
          </w:p>
        </w:tc>
        <w:tc>
          <w:tcPr>
            <w:tcW w:w="1276" w:type="dxa"/>
          </w:tcPr>
          <w:p w:rsidR="009F5D4A" w:rsidRPr="009F5D4A" w:rsidRDefault="009F5D4A" w:rsidP="00EF6D1C">
            <w:pPr>
              <w:jc w:val="right"/>
            </w:pPr>
            <w:r w:rsidRPr="009F5D4A">
              <w:t>480,01</w:t>
            </w:r>
          </w:p>
        </w:tc>
        <w:tc>
          <w:tcPr>
            <w:tcW w:w="1559" w:type="dxa"/>
          </w:tcPr>
          <w:p w:rsidR="009F5D4A" w:rsidRPr="009F5D4A" w:rsidRDefault="009F5D4A" w:rsidP="00EF6D1C">
            <w:pPr>
              <w:jc w:val="right"/>
            </w:pPr>
            <w:r w:rsidRPr="009F5D4A">
              <w:t>6.288,85</w:t>
            </w:r>
          </w:p>
        </w:tc>
        <w:tc>
          <w:tcPr>
            <w:tcW w:w="1559" w:type="dxa"/>
          </w:tcPr>
          <w:p w:rsidR="009F5D4A" w:rsidRPr="009F5D4A" w:rsidRDefault="009F5D4A" w:rsidP="00EF6D1C">
            <w:pPr>
              <w:jc w:val="right"/>
            </w:pPr>
            <w:r w:rsidRPr="009F5D4A">
              <w:t>42.591,78</w:t>
            </w:r>
          </w:p>
        </w:tc>
      </w:tr>
    </w:tbl>
    <w:p w:rsidR="009F5D4A" w:rsidRPr="009F5D4A" w:rsidRDefault="009F5D4A" w:rsidP="009F5D4A">
      <w:pPr>
        <w:rPr>
          <w:szCs w:val="24"/>
          <w:u w:val="single"/>
        </w:rPr>
      </w:pPr>
    </w:p>
    <w:p w:rsidR="009F5D4A" w:rsidRPr="009F5D4A" w:rsidRDefault="009F5D4A" w:rsidP="009F5D4A">
      <w:pPr>
        <w:rPr>
          <w:szCs w:val="24"/>
          <w:u w:val="single"/>
        </w:rPr>
      </w:pPr>
      <w:proofErr w:type="spellStart"/>
      <w:r w:rsidRPr="009F5D4A">
        <w:rPr>
          <w:szCs w:val="24"/>
          <w:u w:val="single"/>
        </w:rPr>
        <w:t>Amerloq</w:t>
      </w:r>
      <w:proofErr w:type="spellEnd"/>
    </w:p>
    <w:p w:rsidR="009F5D4A" w:rsidRPr="009F5D4A" w:rsidRDefault="009F5D4A" w:rsidP="009F5D4A">
      <w:pPr>
        <w:rPr>
          <w:szCs w:val="24"/>
        </w:rPr>
      </w:pPr>
      <w:r w:rsidRPr="009F5D4A">
        <w:rPr>
          <w:szCs w:val="24"/>
        </w:rPr>
        <w:t xml:space="preserve">Kommunen i Sisimiut har en lignende bygning, som kaldes </w:t>
      </w:r>
      <w:proofErr w:type="spellStart"/>
      <w:r w:rsidRPr="009F5D4A">
        <w:rPr>
          <w:szCs w:val="24"/>
        </w:rPr>
        <w:t>Amerloq</w:t>
      </w:r>
      <w:proofErr w:type="spellEnd"/>
      <w:r w:rsidRPr="009F5D4A">
        <w:rPr>
          <w:szCs w:val="24"/>
        </w:rPr>
        <w:t xml:space="preserve">. Da </w:t>
      </w:r>
      <w:proofErr w:type="spellStart"/>
      <w:r w:rsidRPr="009F5D4A">
        <w:rPr>
          <w:szCs w:val="24"/>
        </w:rPr>
        <w:t>Amerloq</w:t>
      </w:r>
      <w:proofErr w:type="spellEnd"/>
      <w:r w:rsidRPr="009F5D4A">
        <w:rPr>
          <w:szCs w:val="24"/>
        </w:rPr>
        <w:t xml:space="preserve"> blev opført i 1948, ejedes bygningen af sportsforeningen </w:t>
      </w:r>
      <w:proofErr w:type="spellStart"/>
      <w:r w:rsidRPr="009F5D4A">
        <w:rPr>
          <w:szCs w:val="24"/>
        </w:rPr>
        <w:t>Amerloq</w:t>
      </w:r>
      <w:proofErr w:type="spellEnd"/>
      <w:r w:rsidRPr="009F5D4A">
        <w:rPr>
          <w:szCs w:val="24"/>
        </w:rPr>
        <w:t xml:space="preserve">, som blev finansieret og bygget af </w:t>
      </w:r>
      <w:proofErr w:type="spellStart"/>
      <w:r w:rsidRPr="009F5D4A">
        <w:rPr>
          <w:szCs w:val="24"/>
        </w:rPr>
        <w:t>Sisimiormiutter</w:t>
      </w:r>
      <w:proofErr w:type="spellEnd"/>
      <w:r w:rsidRPr="009F5D4A">
        <w:rPr>
          <w:szCs w:val="24"/>
        </w:rPr>
        <w:t xml:space="preserve">. Bygningen blev benyttet som hal og forsamlingshus i flere år, efter byggeriet af en ny forsamlingshus og Idrætshal, stod </w:t>
      </w:r>
      <w:proofErr w:type="spellStart"/>
      <w:r w:rsidRPr="009F5D4A">
        <w:rPr>
          <w:szCs w:val="24"/>
        </w:rPr>
        <w:t>Amerloq</w:t>
      </w:r>
      <w:proofErr w:type="spellEnd"/>
      <w:r w:rsidRPr="009F5D4A">
        <w:rPr>
          <w:szCs w:val="24"/>
        </w:rPr>
        <w:t xml:space="preserve"> ubenyttet i flere år og begyndte at forfalde.</w:t>
      </w:r>
    </w:p>
    <w:p w:rsidR="009F5D4A" w:rsidRPr="009F5D4A" w:rsidRDefault="009F5D4A" w:rsidP="009F5D4A">
      <w:pPr>
        <w:rPr>
          <w:szCs w:val="24"/>
        </w:rPr>
      </w:pPr>
      <w:r w:rsidRPr="009F5D4A">
        <w:rPr>
          <w:szCs w:val="24"/>
        </w:rPr>
        <w:t>Bygningen blev renoveret i 1980'erne af ansatte, som arbejdede med Dansk Bygningsbevaring, idet man mente at bygningen var bevaringsværdig, da bygningen var bygget af borgerne, renoveringen blev afholdt med tilskud fra kommunen og fonde, efter renoveringen blev bygningen ibrugtaget som kulturhus med ordensregler, som gælder til dags dato. I henhold til ordensregler benyttes bygningen som mødelokale for forskellige foreninger, som også blev benyttet af personer som arbejder med kultur. Bygningen er registreret som bevaringsværdigt.</w:t>
      </w:r>
    </w:p>
    <w:p w:rsidR="009F5D4A" w:rsidRPr="009F5D4A" w:rsidRDefault="009F5D4A" w:rsidP="009F5D4A">
      <w:pPr>
        <w:rPr>
          <w:szCs w:val="24"/>
        </w:rPr>
      </w:pPr>
    </w:p>
    <w:p w:rsidR="009F5D4A" w:rsidRPr="009F5D4A" w:rsidRDefault="009F5D4A" w:rsidP="009F5D4A">
      <w:pPr>
        <w:rPr>
          <w:szCs w:val="24"/>
        </w:rPr>
      </w:pPr>
      <w:proofErr w:type="spellStart"/>
      <w:r w:rsidRPr="009F5D4A">
        <w:rPr>
          <w:szCs w:val="24"/>
        </w:rPr>
        <w:t>Amerloq</w:t>
      </w:r>
      <w:proofErr w:type="spellEnd"/>
      <w:r w:rsidRPr="009F5D4A">
        <w:rPr>
          <w:szCs w:val="24"/>
        </w:rPr>
        <w:t xml:space="preserve"> har været under kommunen i flere år, således har man afsat følgende budget fra år til år:</w:t>
      </w:r>
    </w:p>
    <w:p w:rsidR="009F5D4A" w:rsidRPr="009F5D4A" w:rsidRDefault="009F5D4A" w:rsidP="009F5D4A">
      <w:pPr>
        <w:rPr>
          <w:szCs w:val="24"/>
        </w:rPr>
      </w:pPr>
    </w:p>
    <w:p w:rsidR="009F5D4A" w:rsidRPr="009F5D4A" w:rsidRDefault="009F5D4A" w:rsidP="009F5D4A">
      <w:pPr>
        <w:rPr>
          <w:sz w:val="22"/>
          <w:szCs w:val="22"/>
        </w:rPr>
      </w:pPr>
      <w:r w:rsidRPr="009F5D4A">
        <w:rPr>
          <w:sz w:val="22"/>
          <w:szCs w:val="22"/>
        </w:rPr>
        <w:t>Timeløn</w:t>
      </w:r>
      <w:r w:rsidRPr="009F5D4A">
        <w:rPr>
          <w:sz w:val="22"/>
          <w:szCs w:val="22"/>
        </w:rPr>
        <w:tab/>
      </w:r>
      <w:r w:rsidRPr="009F5D4A">
        <w:rPr>
          <w:sz w:val="22"/>
          <w:szCs w:val="22"/>
        </w:rPr>
        <w:tab/>
      </w:r>
      <w:r w:rsidRPr="009F5D4A">
        <w:rPr>
          <w:sz w:val="22"/>
          <w:szCs w:val="22"/>
        </w:rPr>
        <w:tab/>
      </w:r>
      <w:r w:rsidRPr="009F5D4A">
        <w:rPr>
          <w:sz w:val="22"/>
          <w:szCs w:val="22"/>
        </w:rPr>
        <w:tab/>
        <w:t>51.000</w:t>
      </w:r>
    </w:p>
    <w:p w:rsidR="009F5D4A" w:rsidRPr="009F5D4A" w:rsidRDefault="009F5D4A" w:rsidP="009F5D4A">
      <w:pPr>
        <w:rPr>
          <w:sz w:val="22"/>
          <w:szCs w:val="22"/>
        </w:rPr>
      </w:pPr>
      <w:r w:rsidRPr="009F5D4A">
        <w:rPr>
          <w:sz w:val="22"/>
          <w:szCs w:val="22"/>
        </w:rPr>
        <w:t>Rengøringsselskab/</w:t>
      </w:r>
      <w:proofErr w:type="spellStart"/>
      <w:r w:rsidRPr="009F5D4A">
        <w:rPr>
          <w:sz w:val="22"/>
          <w:szCs w:val="22"/>
        </w:rPr>
        <w:t>reno</w:t>
      </w:r>
      <w:proofErr w:type="spellEnd"/>
      <w:r w:rsidRPr="009F5D4A">
        <w:rPr>
          <w:sz w:val="22"/>
          <w:szCs w:val="22"/>
        </w:rPr>
        <w:t>/vagts</w:t>
      </w:r>
      <w:r w:rsidRPr="009F5D4A">
        <w:rPr>
          <w:sz w:val="22"/>
          <w:szCs w:val="22"/>
        </w:rPr>
        <w:tab/>
      </w:r>
      <w:proofErr w:type="gramStart"/>
      <w:r w:rsidRPr="009F5D4A">
        <w:rPr>
          <w:sz w:val="22"/>
          <w:szCs w:val="22"/>
        </w:rPr>
        <w:tab/>
        <w:t xml:space="preserve">  3.000</w:t>
      </w:r>
      <w:proofErr w:type="gramEnd"/>
    </w:p>
    <w:p w:rsidR="009F5D4A" w:rsidRPr="009F5D4A" w:rsidRDefault="009F5D4A" w:rsidP="009F5D4A">
      <w:pPr>
        <w:rPr>
          <w:sz w:val="22"/>
          <w:szCs w:val="22"/>
        </w:rPr>
      </w:pPr>
      <w:r w:rsidRPr="009F5D4A">
        <w:rPr>
          <w:sz w:val="22"/>
          <w:szCs w:val="22"/>
        </w:rPr>
        <w:t>Rengøringsartikler, Toiletartikler</w:t>
      </w:r>
      <w:r w:rsidRPr="009F5D4A">
        <w:rPr>
          <w:sz w:val="22"/>
          <w:szCs w:val="22"/>
        </w:rPr>
        <w:tab/>
        <w:t xml:space="preserve"> </w:t>
      </w:r>
      <w:proofErr w:type="gramStart"/>
      <w:r w:rsidRPr="009F5D4A">
        <w:rPr>
          <w:sz w:val="22"/>
          <w:szCs w:val="22"/>
        </w:rPr>
        <w:tab/>
        <w:t xml:space="preserve">  3.000</w:t>
      </w:r>
      <w:proofErr w:type="gramEnd"/>
    </w:p>
    <w:p w:rsidR="009F5D4A" w:rsidRPr="009F5D4A" w:rsidRDefault="009F5D4A" w:rsidP="009F5D4A">
      <w:pPr>
        <w:rPr>
          <w:sz w:val="22"/>
          <w:szCs w:val="22"/>
        </w:rPr>
      </w:pPr>
      <w:r w:rsidRPr="009F5D4A">
        <w:rPr>
          <w:sz w:val="22"/>
          <w:szCs w:val="22"/>
        </w:rPr>
        <w:t>Materiel/Inventar</w:t>
      </w:r>
      <w:r w:rsidRPr="009F5D4A">
        <w:rPr>
          <w:sz w:val="22"/>
          <w:szCs w:val="22"/>
        </w:rPr>
        <w:tab/>
      </w:r>
      <w:r w:rsidRPr="009F5D4A">
        <w:rPr>
          <w:sz w:val="22"/>
          <w:szCs w:val="22"/>
        </w:rPr>
        <w:tab/>
        <w:t xml:space="preserve"> </w:t>
      </w:r>
      <w:proofErr w:type="gramStart"/>
      <w:r w:rsidRPr="009F5D4A">
        <w:rPr>
          <w:sz w:val="22"/>
          <w:szCs w:val="22"/>
        </w:rPr>
        <w:tab/>
        <w:t xml:space="preserve">  4.000</w:t>
      </w:r>
      <w:proofErr w:type="gramEnd"/>
    </w:p>
    <w:p w:rsidR="009F5D4A" w:rsidRPr="009F5D4A" w:rsidRDefault="009F5D4A" w:rsidP="009F5D4A">
      <w:pPr>
        <w:rPr>
          <w:sz w:val="22"/>
          <w:szCs w:val="22"/>
        </w:rPr>
      </w:pPr>
      <w:r w:rsidRPr="009F5D4A">
        <w:rPr>
          <w:sz w:val="22"/>
          <w:szCs w:val="22"/>
        </w:rPr>
        <w:t>Øvrige anskaffelser af materiel og inventar</w:t>
      </w:r>
      <w:r w:rsidRPr="009F5D4A">
        <w:rPr>
          <w:sz w:val="22"/>
          <w:szCs w:val="22"/>
        </w:rPr>
        <w:tab/>
      </w:r>
      <w:r w:rsidRPr="009F5D4A">
        <w:rPr>
          <w:sz w:val="22"/>
          <w:szCs w:val="22"/>
        </w:rPr>
        <w:tab/>
        <w:t>14.000</w:t>
      </w:r>
    </w:p>
    <w:p w:rsidR="009F5D4A" w:rsidRPr="009F5D4A" w:rsidRDefault="009F5D4A" w:rsidP="009F5D4A">
      <w:pPr>
        <w:rPr>
          <w:sz w:val="22"/>
          <w:szCs w:val="22"/>
        </w:rPr>
      </w:pPr>
      <w:r w:rsidRPr="009F5D4A">
        <w:rPr>
          <w:sz w:val="22"/>
          <w:szCs w:val="22"/>
        </w:rPr>
        <w:t>El</w:t>
      </w:r>
      <w:r w:rsidRPr="009F5D4A">
        <w:rPr>
          <w:sz w:val="22"/>
          <w:szCs w:val="22"/>
        </w:rPr>
        <w:tab/>
      </w:r>
      <w:r w:rsidRPr="009F5D4A">
        <w:rPr>
          <w:sz w:val="22"/>
          <w:szCs w:val="22"/>
        </w:rPr>
        <w:tab/>
      </w:r>
      <w:r w:rsidRPr="009F5D4A">
        <w:rPr>
          <w:sz w:val="22"/>
          <w:szCs w:val="22"/>
        </w:rPr>
        <w:tab/>
      </w:r>
      <w:r w:rsidRPr="009F5D4A">
        <w:rPr>
          <w:sz w:val="22"/>
          <w:szCs w:val="22"/>
        </w:rPr>
        <w:tab/>
        <w:t>15.000</w:t>
      </w:r>
    </w:p>
    <w:p w:rsidR="009F5D4A" w:rsidRPr="009F5D4A" w:rsidRDefault="009F5D4A" w:rsidP="009F5D4A">
      <w:pPr>
        <w:rPr>
          <w:sz w:val="22"/>
          <w:szCs w:val="22"/>
        </w:rPr>
      </w:pPr>
      <w:r w:rsidRPr="009F5D4A">
        <w:rPr>
          <w:sz w:val="22"/>
          <w:szCs w:val="22"/>
        </w:rPr>
        <w:t>Olie (opvarmning)</w:t>
      </w:r>
      <w:r w:rsidRPr="009F5D4A">
        <w:rPr>
          <w:sz w:val="22"/>
          <w:szCs w:val="22"/>
        </w:rPr>
        <w:tab/>
      </w:r>
      <w:r w:rsidRPr="009F5D4A">
        <w:rPr>
          <w:sz w:val="22"/>
          <w:szCs w:val="22"/>
        </w:rPr>
        <w:tab/>
      </w:r>
      <w:r w:rsidRPr="009F5D4A">
        <w:rPr>
          <w:sz w:val="22"/>
          <w:szCs w:val="22"/>
        </w:rPr>
        <w:tab/>
        <w:t>29.000</w:t>
      </w:r>
    </w:p>
    <w:p w:rsidR="009F5D4A" w:rsidRPr="009F5D4A" w:rsidRDefault="009F5D4A" w:rsidP="009F5D4A">
      <w:pPr>
        <w:rPr>
          <w:sz w:val="22"/>
          <w:szCs w:val="22"/>
        </w:rPr>
      </w:pPr>
      <w:r w:rsidRPr="009F5D4A">
        <w:rPr>
          <w:sz w:val="22"/>
          <w:szCs w:val="22"/>
        </w:rPr>
        <w:t>Bygning 80.000</w:t>
      </w:r>
    </w:p>
    <w:p w:rsidR="009F5D4A" w:rsidRPr="009F5D4A" w:rsidRDefault="009F5D4A" w:rsidP="009F5D4A">
      <w:pPr>
        <w:rPr>
          <w:sz w:val="22"/>
          <w:szCs w:val="22"/>
        </w:rPr>
      </w:pPr>
      <w:r w:rsidRPr="009F5D4A">
        <w:rPr>
          <w:sz w:val="22"/>
          <w:szCs w:val="22"/>
        </w:rPr>
        <w:t>Materiel inventar</w:t>
      </w:r>
      <w:r w:rsidRPr="009F5D4A">
        <w:rPr>
          <w:sz w:val="22"/>
          <w:szCs w:val="22"/>
        </w:rPr>
        <w:tab/>
      </w:r>
      <w:r w:rsidRPr="009F5D4A">
        <w:rPr>
          <w:sz w:val="22"/>
          <w:szCs w:val="22"/>
        </w:rPr>
        <w:tab/>
      </w:r>
      <w:proofErr w:type="gramStart"/>
      <w:r w:rsidRPr="009F5D4A">
        <w:rPr>
          <w:sz w:val="22"/>
          <w:szCs w:val="22"/>
        </w:rPr>
        <w:tab/>
        <w:t xml:space="preserve">  3.000</w:t>
      </w:r>
      <w:proofErr w:type="gramEnd"/>
    </w:p>
    <w:p w:rsidR="009F5D4A" w:rsidRPr="009F5D4A" w:rsidRDefault="009F5D4A" w:rsidP="009F5D4A">
      <w:pPr>
        <w:rPr>
          <w:sz w:val="22"/>
          <w:szCs w:val="22"/>
        </w:rPr>
      </w:pPr>
      <w:proofErr w:type="spellStart"/>
      <w:r w:rsidRPr="009F5D4A">
        <w:rPr>
          <w:sz w:val="22"/>
          <w:szCs w:val="22"/>
        </w:rPr>
        <w:t>Div</w:t>
      </w:r>
      <w:proofErr w:type="spellEnd"/>
      <w:r w:rsidRPr="009F5D4A">
        <w:rPr>
          <w:sz w:val="22"/>
          <w:szCs w:val="22"/>
        </w:rPr>
        <w:t xml:space="preserve"> reparationer</w:t>
      </w:r>
      <w:r w:rsidRPr="009F5D4A">
        <w:rPr>
          <w:sz w:val="22"/>
          <w:szCs w:val="22"/>
        </w:rPr>
        <w:tab/>
      </w:r>
      <w:r w:rsidRPr="009F5D4A">
        <w:rPr>
          <w:sz w:val="22"/>
          <w:szCs w:val="22"/>
        </w:rPr>
        <w:tab/>
      </w:r>
      <w:proofErr w:type="gramStart"/>
      <w:r w:rsidRPr="009F5D4A">
        <w:rPr>
          <w:sz w:val="22"/>
          <w:szCs w:val="22"/>
        </w:rPr>
        <w:tab/>
        <w:t xml:space="preserve">  1.000</w:t>
      </w:r>
      <w:proofErr w:type="gramEnd"/>
    </w:p>
    <w:p w:rsidR="009F5D4A" w:rsidRPr="009F5D4A" w:rsidRDefault="009F5D4A" w:rsidP="009F5D4A">
      <w:pPr>
        <w:rPr>
          <w:szCs w:val="24"/>
        </w:rPr>
      </w:pPr>
      <w:r w:rsidRPr="009F5D4A">
        <w:rPr>
          <w:szCs w:val="24"/>
        </w:rPr>
        <w:tab/>
      </w:r>
      <w:r w:rsidRPr="009F5D4A">
        <w:rPr>
          <w:szCs w:val="24"/>
        </w:rPr>
        <w:tab/>
      </w:r>
    </w:p>
    <w:p w:rsidR="009F5D4A" w:rsidRPr="009F5D4A" w:rsidRDefault="009F5D4A" w:rsidP="009F5D4A">
      <w:pPr>
        <w:rPr>
          <w:szCs w:val="24"/>
          <w:u w:val="single"/>
        </w:rPr>
      </w:pPr>
      <w:r w:rsidRPr="009F5D4A">
        <w:rPr>
          <w:szCs w:val="24"/>
          <w:u w:val="single"/>
        </w:rPr>
        <w:t>Bæredygtig konsekvenser</w:t>
      </w:r>
    </w:p>
    <w:p w:rsidR="009F5D4A" w:rsidRPr="009F5D4A" w:rsidRDefault="009F5D4A" w:rsidP="009F5D4A">
      <w:r w:rsidRPr="009F5D4A">
        <w:t xml:space="preserve">Det er tydeligt, at borger som arbejder med forskellige sociale tiltag er godt tilfredse med at kunne leje Qeqqata </w:t>
      </w:r>
      <w:proofErr w:type="spellStart"/>
      <w:r w:rsidRPr="009F5D4A">
        <w:t>Kommunias</w:t>
      </w:r>
      <w:proofErr w:type="spellEnd"/>
      <w:r w:rsidRPr="009F5D4A">
        <w:t xml:space="preserve"> bygninger gratis, som de benytter sig godt af.</w:t>
      </w:r>
    </w:p>
    <w:p w:rsidR="009F5D4A" w:rsidRPr="009F5D4A" w:rsidRDefault="009F5D4A" w:rsidP="009F5D4A"/>
    <w:p w:rsidR="009F5D4A" w:rsidRPr="009F5D4A" w:rsidRDefault="009F5D4A" w:rsidP="009F5D4A">
      <w:pPr>
        <w:pStyle w:val="Overskrift3"/>
        <w:rPr>
          <w:color w:val="auto"/>
        </w:rPr>
      </w:pPr>
      <w:r w:rsidRPr="009F5D4A">
        <w:rPr>
          <w:color w:val="auto"/>
        </w:rPr>
        <w:t>Økonomiske og administrative konsekvenser</w:t>
      </w:r>
    </w:p>
    <w:p w:rsidR="009F5D4A" w:rsidRPr="009F5D4A" w:rsidRDefault="009F5D4A" w:rsidP="009F5D4A">
      <w:r w:rsidRPr="009F5D4A">
        <w:t>Ingen.</w:t>
      </w:r>
    </w:p>
    <w:p w:rsidR="009F5D4A" w:rsidRPr="009F5D4A" w:rsidRDefault="009F5D4A" w:rsidP="009F5D4A"/>
    <w:p w:rsidR="009F5D4A" w:rsidRPr="009F5D4A" w:rsidRDefault="009F5D4A" w:rsidP="009F5D4A">
      <w:pPr>
        <w:pStyle w:val="Overskrift3"/>
        <w:rPr>
          <w:color w:val="auto"/>
        </w:rPr>
      </w:pPr>
      <w:r w:rsidRPr="009F5D4A">
        <w:rPr>
          <w:color w:val="auto"/>
        </w:rPr>
        <w:t>Administrationens vurdering</w:t>
      </w:r>
    </w:p>
    <w:p w:rsidR="009F5D4A" w:rsidRPr="009F5D4A" w:rsidRDefault="009F5D4A" w:rsidP="009F5D4A">
      <w:r w:rsidRPr="009F5D4A">
        <w:t>Leje af den gamle kirke i Maniitsoq til forskellige formål er stigende, hvor det kan være svært at finde ud af, hvor grænsen går. Det er derfor blevet nødvendigt med ordensregler.</w:t>
      </w:r>
    </w:p>
    <w:p w:rsidR="009F5D4A" w:rsidRPr="009F5D4A" w:rsidRDefault="009F5D4A" w:rsidP="009F5D4A">
      <w:proofErr w:type="spellStart"/>
      <w:r w:rsidRPr="009F5D4A">
        <w:t>Amerloq</w:t>
      </w:r>
      <w:proofErr w:type="spellEnd"/>
      <w:r w:rsidRPr="009F5D4A">
        <w:t xml:space="preserve"> i Sisimiut har allerede regler, der arbejdes på at harmonisere regler som skal gælde i </w:t>
      </w:r>
      <w:proofErr w:type="spellStart"/>
      <w:r w:rsidRPr="009F5D4A">
        <w:t>Amerloq</w:t>
      </w:r>
      <w:proofErr w:type="spellEnd"/>
      <w:r w:rsidRPr="009F5D4A">
        <w:t xml:space="preserve"> og Den gamle kirke. Jævnfør bilag 1 og 2.</w:t>
      </w:r>
    </w:p>
    <w:p w:rsidR="009F5D4A" w:rsidRPr="009F5D4A" w:rsidRDefault="009F5D4A" w:rsidP="009F5D4A">
      <w:pPr>
        <w:ind w:right="-710"/>
        <w:rPr>
          <w:szCs w:val="24"/>
        </w:rPr>
      </w:pPr>
    </w:p>
    <w:p w:rsidR="009F5D4A" w:rsidRPr="00AA07A2" w:rsidRDefault="009F5D4A" w:rsidP="009F5D4A">
      <w:pPr>
        <w:pStyle w:val="Overskrift4"/>
        <w:rPr>
          <w:b/>
          <w:i w:val="0"/>
          <w:color w:val="auto"/>
        </w:rPr>
      </w:pPr>
      <w:r w:rsidRPr="00AA07A2">
        <w:rPr>
          <w:b/>
          <w:i w:val="0"/>
          <w:color w:val="auto"/>
        </w:rPr>
        <w:t>Indstilling:</w:t>
      </w:r>
    </w:p>
    <w:p w:rsidR="009F5D4A" w:rsidRPr="00AA07A2" w:rsidRDefault="009F5D4A" w:rsidP="009F5D4A">
      <w:pPr>
        <w:pStyle w:val="Overskrift4"/>
        <w:rPr>
          <w:i w:val="0"/>
          <w:color w:val="auto"/>
        </w:rPr>
      </w:pPr>
      <w:r w:rsidRPr="00AA07A2">
        <w:rPr>
          <w:i w:val="0"/>
          <w:color w:val="auto"/>
        </w:rPr>
        <w:t>at Udvalget for Uddannelse, Sundhed, Kultur og Fritid drøfter og tager en afgørelse af forslaget til ordensregler.</w:t>
      </w:r>
    </w:p>
    <w:p w:rsidR="009F5D4A" w:rsidRPr="00AA07A2" w:rsidRDefault="009F5D4A" w:rsidP="009F5D4A"/>
    <w:p w:rsidR="00AA07A2" w:rsidRDefault="00AA07A2">
      <w:pPr>
        <w:tabs>
          <w:tab w:val="clear" w:pos="284"/>
        </w:tabs>
        <w:spacing w:after="160" w:line="259" w:lineRule="auto"/>
        <w:rPr>
          <w:rFonts w:asciiTheme="majorHAnsi" w:eastAsiaTheme="majorEastAsia" w:hAnsiTheme="majorHAnsi" w:cstheme="majorBidi"/>
          <w:i/>
          <w:iCs/>
        </w:rPr>
      </w:pPr>
      <w:r>
        <w:br w:type="page"/>
      </w:r>
    </w:p>
    <w:p w:rsidR="009F5D4A" w:rsidRDefault="00AA07A2" w:rsidP="009F5D4A">
      <w:pPr>
        <w:pStyle w:val="Overskrift4"/>
        <w:rPr>
          <w:b/>
          <w:i w:val="0"/>
          <w:color w:val="auto"/>
        </w:rPr>
      </w:pPr>
      <w:r>
        <w:rPr>
          <w:b/>
          <w:i w:val="0"/>
          <w:color w:val="auto"/>
        </w:rPr>
        <w:lastRenderedPageBreak/>
        <w:t>Afgørelse</w:t>
      </w:r>
    </w:p>
    <w:p w:rsidR="00AA07A2" w:rsidRDefault="00AA07A2" w:rsidP="00AA07A2"/>
    <w:p w:rsidR="00AA07A2" w:rsidRPr="00AA07A2" w:rsidRDefault="00AA07A2" w:rsidP="00AA07A2">
      <w:pPr>
        <w:rPr>
          <w:rFonts w:ascii="Arial" w:hAnsi="Arial" w:cs="Arial"/>
          <w:szCs w:val="24"/>
        </w:rPr>
      </w:pPr>
      <w:r w:rsidRPr="00AA07A2">
        <w:rPr>
          <w:rFonts w:ascii="Arial" w:hAnsi="Arial" w:cs="Arial"/>
          <w:szCs w:val="24"/>
        </w:rPr>
        <w:t xml:space="preserve">Under paragraf 3 for </w:t>
      </w:r>
      <w:proofErr w:type="spellStart"/>
      <w:r w:rsidRPr="00AA07A2">
        <w:rPr>
          <w:rFonts w:ascii="Arial" w:hAnsi="Arial" w:cs="Arial"/>
          <w:szCs w:val="24"/>
        </w:rPr>
        <w:t>Amerloq</w:t>
      </w:r>
      <w:proofErr w:type="spellEnd"/>
      <w:r w:rsidRPr="00AA07A2">
        <w:rPr>
          <w:rFonts w:ascii="Arial" w:hAnsi="Arial" w:cs="Arial"/>
          <w:szCs w:val="24"/>
        </w:rPr>
        <w:t xml:space="preserve"> og den gamle kirke blev punkt I fjernet.</w:t>
      </w:r>
    </w:p>
    <w:p w:rsidR="00AA07A2" w:rsidRPr="00AA07A2" w:rsidRDefault="00AA07A2" w:rsidP="00AA07A2"/>
    <w:p w:rsidR="009F5D4A" w:rsidRPr="009F5D4A" w:rsidRDefault="009F5D4A" w:rsidP="009F5D4A"/>
    <w:p w:rsidR="009F5D4A" w:rsidRPr="009F5D4A" w:rsidRDefault="009F5D4A" w:rsidP="009F5D4A">
      <w:pPr>
        <w:pStyle w:val="Overskrift4"/>
        <w:rPr>
          <w:color w:val="auto"/>
        </w:rPr>
      </w:pPr>
      <w:r w:rsidRPr="009F5D4A">
        <w:rPr>
          <w:color w:val="auto"/>
        </w:rPr>
        <w:t>Bilag:</w:t>
      </w:r>
    </w:p>
    <w:p w:rsidR="009F5D4A" w:rsidRPr="009F5D4A" w:rsidRDefault="009F5D4A" w:rsidP="009F5D4A">
      <w:pPr>
        <w:pStyle w:val="Opstilling-talellerbogst"/>
        <w:tabs>
          <w:tab w:val="num" w:pos="360"/>
        </w:tabs>
        <w:ind w:left="360" w:hanging="360"/>
      </w:pPr>
      <w:proofErr w:type="spellStart"/>
      <w:r w:rsidRPr="009F5D4A">
        <w:t>Amerloq´s</w:t>
      </w:r>
      <w:proofErr w:type="spellEnd"/>
      <w:r w:rsidRPr="009F5D4A">
        <w:t xml:space="preserve"> ordensregler</w:t>
      </w:r>
    </w:p>
    <w:p w:rsidR="009F5D4A" w:rsidRPr="009F5D4A" w:rsidRDefault="009F5D4A" w:rsidP="009F5D4A">
      <w:pPr>
        <w:pStyle w:val="Opstilling-talellerbogst"/>
        <w:tabs>
          <w:tab w:val="num" w:pos="360"/>
        </w:tabs>
        <w:ind w:left="360" w:hanging="360"/>
      </w:pPr>
      <w:r w:rsidRPr="009F5D4A">
        <w:t xml:space="preserve">Den gamle </w:t>
      </w:r>
      <w:proofErr w:type="spellStart"/>
      <w:r w:rsidRPr="009F5D4A">
        <w:t>kirke´s</w:t>
      </w:r>
      <w:proofErr w:type="spellEnd"/>
      <w:r w:rsidRPr="009F5D4A">
        <w:t xml:space="preserve"> ordensregler</w:t>
      </w:r>
    </w:p>
    <w:p w:rsidR="004D7479" w:rsidRDefault="004D7479" w:rsidP="00445DFA">
      <w:pPr>
        <w:pStyle w:val="Overskrift1"/>
        <w:rPr>
          <w:rFonts w:ascii="Times New Roman" w:hAnsi="Times New Roman"/>
          <w:sz w:val="24"/>
          <w:szCs w:val="24"/>
          <w:lang w:eastAsia="ja-JP"/>
        </w:rPr>
      </w:pPr>
    </w:p>
    <w:p w:rsidR="004D7479" w:rsidRDefault="004D7479">
      <w:pPr>
        <w:tabs>
          <w:tab w:val="clear" w:pos="284"/>
        </w:tabs>
        <w:spacing w:after="160" w:line="259" w:lineRule="auto"/>
        <w:rPr>
          <w:rFonts w:eastAsia="MS Gothic"/>
          <w:b/>
          <w:color w:val="000000"/>
          <w:szCs w:val="24"/>
          <w:lang w:eastAsia="ja-JP"/>
        </w:rPr>
      </w:pPr>
      <w:r>
        <w:rPr>
          <w:szCs w:val="24"/>
          <w:lang w:eastAsia="ja-JP"/>
        </w:rPr>
        <w:br w:type="page"/>
      </w:r>
    </w:p>
    <w:p w:rsidR="00445DFA" w:rsidRPr="004A1FE1" w:rsidRDefault="00445DFA" w:rsidP="00445DFA">
      <w:pPr>
        <w:pStyle w:val="Overskrift1"/>
        <w:rPr>
          <w:rFonts w:ascii="Times New Roman" w:hAnsi="Times New Roman"/>
          <w:b w:val="0"/>
          <w:sz w:val="28"/>
          <w:szCs w:val="28"/>
        </w:rPr>
      </w:pPr>
      <w:r w:rsidRPr="004A1FE1">
        <w:rPr>
          <w:rFonts w:ascii="Times New Roman" w:hAnsi="Times New Roman"/>
          <w:sz w:val="28"/>
          <w:szCs w:val="28"/>
          <w:lang w:eastAsia="ja-JP"/>
        </w:rPr>
        <w:lastRenderedPageBreak/>
        <w:t>Punkt 0</w:t>
      </w:r>
      <w:r w:rsidR="009F5D4A">
        <w:rPr>
          <w:rFonts w:ascii="Times New Roman" w:hAnsi="Times New Roman"/>
          <w:sz w:val="28"/>
          <w:szCs w:val="28"/>
          <w:lang w:eastAsia="ja-JP"/>
        </w:rPr>
        <w:t>7</w:t>
      </w:r>
      <w:r w:rsidRPr="004A1FE1">
        <w:rPr>
          <w:rFonts w:ascii="Times New Roman" w:hAnsi="Times New Roman"/>
          <w:sz w:val="28"/>
          <w:szCs w:val="28"/>
          <w:lang w:eastAsia="ja-JP"/>
        </w:rPr>
        <w:t xml:space="preserve"> Revisionsberetning nr. 28 og nr. 31 for Qeqqata Kommunia</w:t>
      </w:r>
    </w:p>
    <w:p w:rsidR="00445DFA" w:rsidRPr="008D25FA" w:rsidRDefault="00445DFA" w:rsidP="00445DFA">
      <w:pPr>
        <w:pStyle w:val="Overskrift1"/>
        <w:rPr>
          <w:rFonts w:ascii="Times New Roman" w:hAnsi="Times New Roman"/>
          <w:i/>
          <w:sz w:val="32"/>
        </w:rPr>
      </w:pPr>
      <w:r w:rsidRPr="008D25FA">
        <w:rPr>
          <w:rFonts w:ascii="Times New Roman" w:hAnsi="Times New Roman"/>
          <w:b w:val="0"/>
          <w:i/>
          <w:sz w:val="22"/>
        </w:rPr>
        <w:t xml:space="preserve">Journal nr. </w:t>
      </w:r>
      <w:r>
        <w:rPr>
          <w:rFonts w:ascii="Times New Roman" w:hAnsi="Times New Roman"/>
          <w:b w:val="0"/>
          <w:i/>
          <w:sz w:val="22"/>
        </w:rPr>
        <w:t>06</w:t>
      </w:r>
      <w:r w:rsidRPr="008D25FA">
        <w:rPr>
          <w:rFonts w:ascii="Times New Roman" w:hAnsi="Times New Roman"/>
          <w:b w:val="0"/>
          <w:i/>
          <w:sz w:val="22"/>
        </w:rPr>
        <w:t>.</w:t>
      </w:r>
      <w:r>
        <w:rPr>
          <w:rFonts w:ascii="Times New Roman" w:hAnsi="Times New Roman"/>
          <w:b w:val="0"/>
          <w:i/>
          <w:sz w:val="22"/>
        </w:rPr>
        <w:t>04</w:t>
      </w:r>
      <w:r w:rsidRPr="008D25FA">
        <w:rPr>
          <w:rFonts w:ascii="Times New Roman" w:hAnsi="Times New Roman"/>
          <w:b w:val="0"/>
          <w:i/>
          <w:sz w:val="22"/>
        </w:rPr>
        <w:t>.</w:t>
      </w:r>
      <w:r>
        <w:rPr>
          <w:rFonts w:ascii="Times New Roman" w:hAnsi="Times New Roman"/>
          <w:b w:val="0"/>
          <w:i/>
          <w:sz w:val="22"/>
        </w:rPr>
        <w:t>01</w:t>
      </w:r>
    </w:p>
    <w:p w:rsidR="00445DFA" w:rsidRPr="008D25FA" w:rsidRDefault="00445DFA" w:rsidP="00445DFA"/>
    <w:p w:rsidR="00445DFA" w:rsidRPr="008D25FA" w:rsidRDefault="00445DFA" w:rsidP="00445DFA">
      <w:pPr>
        <w:rPr>
          <w:u w:val="single"/>
        </w:rPr>
      </w:pPr>
      <w:r w:rsidRPr="008D25FA">
        <w:rPr>
          <w:u w:val="single"/>
        </w:rPr>
        <w:t>Baggrund</w:t>
      </w:r>
    </w:p>
    <w:p w:rsidR="00445DFA" w:rsidRDefault="00445DFA" w:rsidP="00445DFA">
      <w:r>
        <w:t>Kommunernes revisionsafdeling har fremsendt:</w:t>
      </w:r>
    </w:p>
    <w:p w:rsidR="00445DFA" w:rsidRDefault="00445DFA" w:rsidP="00445DFA">
      <w:pPr>
        <w:pStyle w:val="Listeafsnit"/>
        <w:numPr>
          <w:ilvl w:val="0"/>
          <w:numId w:val="26"/>
        </w:numPr>
        <w:tabs>
          <w:tab w:val="clear" w:pos="284"/>
        </w:tabs>
      </w:pPr>
      <w:r>
        <w:t xml:space="preserve">Beretning nr. 28 og nr. 31 Løbende revision samt </w:t>
      </w:r>
      <w:r w:rsidRPr="002674E3">
        <w:t>revisionsberetninger for regnskab 2017 og 2018</w:t>
      </w:r>
      <w:r>
        <w:t>.</w:t>
      </w:r>
    </w:p>
    <w:p w:rsidR="00445DFA" w:rsidRPr="00B16573" w:rsidRDefault="00445DFA" w:rsidP="00445DFA"/>
    <w:p w:rsidR="00445DFA" w:rsidRDefault="00445DFA" w:rsidP="00445DFA">
      <w:r>
        <w:t xml:space="preserve">Økonomichefen anmoder i mail af 11. oktober 2019 fagudvalgene at besvare Revisionens bemærkninger </w:t>
      </w:r>
      <w:proofErr w:type="gramStart"/>
      <w:r>
        <w:t>indenfor</w:t>
      </w:r>
      <w:proofErr w:type="gramEnd"/>
      <w:r>
        <w:t xml:space="preserve"> de respektive udvalgs fagområder.</w:t>
      </w:r>
    </w:p>
    <w:p w:rsidR="00445DFA" w:rsidRPr="008D25FA" w:rsidRDefault="00445DFA" w:rsidP="00445DFA"/>
    <w:p w:rsidR="00445DFA" w:rsidRPr="008D25FA" w:rsidRDefault="00445DFA" w:rsidP="00445DFA">
      <w:pPr>
        <w:rPr>
          <w:u w:val="single"/>
        </w:rPr>
      </w:pPr>
      <w:r w:rsidRPr="008D25FA">
        <w:rPr>
          <w:u w:val="single"/>
        </w:rPr>
        <w:t xml:space="preserve">Regelgrundlag </w:t>
      </w:r>
    </w:p>
    <w:p w:rsidR="00445DFA" w:rsidRPr="008D25FA" w:rsidRDefault="00445DFA" w:rsidP="00445DFA">
      <w:r>
        <w:t>I henhold til Styrelseslovens § 48, stk. 5 påhviler det kommunalbestyrelsen at besvare revisionens bemærkninger, og herefter tilsende besvarelsen til Tilsynsrådet så snart afgørelsen foreligger.</w:t>
      </w:r>
    </w:p>
    <w:p w:rsidR="00445DFA" w:rsidRPr="008D25FA" w:rsidRDefault="00445DFA" w:rsidP="00445DFA"/>
    <w:p w:rsidR="00445DFA" w:rsidRPr="008D25FA" w:rsidRDefault="00445DFA" w:rsidP="00445DFA">
      <w:pPr>
        <w:rPr>
          <w:u w:val="single"/>
        </w:rPr>
      </w:pPr>
      <w:r w:rsidRPr="008D25FA">
        <w:rPr>
          <w:u w:val="single"/>
        </w:rPr>
        <w:t>Faktiske forhold</w:t>
      </w:r>
    </w:p>
    <w:p w:rsidR="00445DFA" w:rsidRDefault="00445DFA" w:rsidP="00445DFA">
      <w:r>
        <w:t>Revisionen har i deres bemærkning inden for Udvalget Uddannelses ansvarsområde påpeget følgende:</w:t>
      </w:r>
    </w:p>
    <w:p w:rsidR="00445DFA" w:rsidRDefault="00445DFA" w:rsidP="00445DFA"/>
    <w:p w:rsidR="00445DFA" w:rsidRPr="00727DB0" w:rsidRDefault="00445DFA" w:rsidP="00445DFA">
      <w:pPr>
        <w:pStyle w:val="Listeafsnit"/>
        <w:ind w:left="0"/>
        <w:rPr>
          <w:u w:val="single"/>
        </w:rPr>
      </w:pPr>
      <w:r>
        <w:t>”2.2.1</w:t>
      </w:r>
      <w:r>
        <w:tab/>
        <w:t>Områder med refusion fra Selvstyret, herunder:</w:t>
      </w:r>
    </w:p>
    <w:p w:rsidR="00445DFA" w:rsidRPr="00727DB0" w:rsidRDefault="00445DFA" w:rsidP="00445DFA">
      <w:pPr>
        <w:pStyle w:val="Listeafsnit"/>
        <w:numPr>
          <w:ilvl w:val="1"/>
          <w:numId w:val="26"/>
        </w:numPr>
        <w:tabs>
          <w:tab w:val="clear" w:pos="284"/>
        </w:tabs>
      </w:pPr>
      <w:r w:rsidRPr="00727DB0">
        <w:t>Interne kontroller</w:t>
      </w:r>
    </w:p>
    <w:p w:rsidR="00445DFA" w:rsidRDefault="00445DFA" w:rsidP="00445DFA">
      <w:r>
        <w:t>2.2.2</w:t>
      </w:r>
      <w:r>
        <w:tab/>
        <w:t>Arbejdsmarkedsydelse</w:t>
      </w:r>
    </w:p>
    <w:p w:rsidR="00445DFA" w:rsidRDefault="00445DFA" w:rsidP="00445DFA">
      <w:pPr>
        <w:pStyle w:val="Listeafsnit"/>
        <w:numPr>
          <w:ilvl w:val="1"/>
          <w:numId w:val="26"/>
        </w:numPr>
        <w:tabs>
          <w:tab w:val="clear" w:pos="284"/>
        </w:tabs>
      </w:pPr>
      <w:r w:rsidRPr="00727DB0">
        <w:t>Interne kontroller</w:t>
      </w:r>
    </w:p>
    <w:p w:rsidR="00445DFA" w:rsidRPr="00727DB0" w:rsidRDefault="00445DFA" w:rsidP="00445DFA">
      <w:pPr>
        <w:pStyle w:val="Listeafsnit"/>
        <w:numPr>
          <w:ilvl w:val="1"/>
          <w:numId w:val="26"/>
        </w:numPr>
        <w:tabs>
          <w:tab w:val="clear" w:pos="284"/>
        </w:tabs>
      </w:pPr>
      <w:proofErr w:type="spellStart"/>
      <w:r>
        <w:t>Sagsgennemgangen</w:t>
      </w:r>
      <w:proofErr w:type="spellEnd"/>
    </w:p>
    <w:p w:rsidR="00445DFA" w:rsidRPr="00B82E2C" w:rsidRDefault="00445DFA" w:rsidP="00445DFA"/>
    <w:p w:rsidR="00445DFA" w:rsidRPr="00727A89" w:rsidRDefault="00445DFA" w:rsidP="00445DFA">
      <w:pPr>
        <w:rPr>
          <w:u w:val="single"/>
        </w:rPr>
      </w:pPr>
    </w:p>
    <w:p w:rsidR="00445DFA" w:rsidRPr="001D2349" w:rsidRDefault="00445DFA" w:rsidP="00445DFA">
      <w:pPr>
        <w:rPr>
          <w:b/>
        </w:rPr>
      </w:pPr>
      <w:r w:rsidRPr="001D2349">
        <w:rPr>
          <w:b/>
        </w:rPr>
        <w:t>Interne kontroller:</w:t>
      </w:r>
    </w:p>
    <w:p w:rsidR="00445DFA" w:rsidRPr="00B82E2C" w:rsidRDefault="00445DFA" w:rsidP="00445DFA">
      <w:r w:rsidRPr="00B82E2C">
        <w:t>På arbejdsmarkedsområdet og det sociale område er der i lighed med tidligere år, ikke fuldt ud udført et formaliseret ledelsestilsyn vedrørende sagsbehandlingen af personsager.</w:t>
      </w:r>
    </w:p>
    <w:p w:rsidR="00445DFA" w:rsidRPr="00B82E2C" w:rsidRDefault="00445DFA" w:rsidP="00445DFA">
      <w:pPr>
        <w:spacing w:after="240"/>
        <w:rPr>
          <w:color w:val="000000"/>
        </w:rPr>
      </w:pPr>
      <w:r w:rsidRPr="00B82E2C">
        <w:rPr>
          <w:color w:val="000000"/>
        </w:rPr>
        <w:t xml:space="preserve">Ved dette besøg er det således konstateret, at kvalitetskontrollen med sagsbehandlingen er meget varierende fra område til område, og på en del områder er der ikke foretaget kontrol med sagsbehandlingen. </w:t>
      </w:r>
      <w:r>
        <w:rPr>
          <w:color w:val="000000"/>
        </w:rPr>
        <w:br/>
      </w:r>
      <w:r w:rsidRPr="00B82E2C">
        <w:rPr>
          <w:color w:val="000000"/>
        </w:rPr>
        <w:t xml:space="preserve">Kommunen har efterfølgende anskaffet </w:t>
      </w:r>
      <w:r w:rsidRPr="00B82E2C">
        <w:t>BDO Kvalitetskontrolsystem. Vi vurderer, at dette system kan være medvirkende til, at ledelsestilsynet bliver forbedret.</w:t>
      </w:r>
    </w:p>
    <w:p w:rsidR="00445DFA" w:rsidRPr="001D2349" w:rsidRDefault="00445DFA" w:rsidP="00445DFA">
      <w:pPr>
        <w:rPr>
          <w:b/>
        </w:rPr>
      </w:pPr>
      <w:r>
        <w:rPr>
          <w:b/>
        </w:rPr>
        <w:t xml:space="preserve">Arbejdsmarkedsydelse - </w:t>
      </w:r>
      <w:proofErr w:type="spellStart"/>
      <w:r>
        <w:rPr>
          <w:b/>
        </w:rPr>
        <w:t>sagsgennemgangen</w:t>
      </w:r>
      <w:proofErr w:type="spellEnd"/>
      <w:r w:rsidRPr="001D2349">
        <w:rPr>
          <w:b/>
        </w:rPr>
        <w:t>:</w:t>
      </w:r>
    </w:p>
    <w:p w:rsidR="00445DFA" w:rsidRPr="00B82E2C" w:rsidRDefault="00445DFA" w:rsidP="00445DFA">
      <w:pPr>
        <w:rPr>
          <w:lang w:eastAsia="en-US"/>
        </w:rPr>
      </w:pPr>
      <w:r w:rsidRPr="00B82E2C">
        <w:rPr>
          <w:lang w:eastAsia="en-US"/>
        </w:rPr>
        <w:t>Gennemgangen af et antal tilfældigt udvalgte sager viser, at der forekommer fejl eller mangler i over halvdelen af de gennemgåede sager.</w:t>
      </w:r>
    </w:p>
    <w:p w:rsidR="00445DFA" w:rsidRPr="00B82E2C" w:rsidRDefault="00445DFA" w:rsidP="00445DFA">
      <w:pPr>
        <w:rPr>
          <w:lang w:eastAsia="en-US"/>
        </w:rPr>
      </w:pPr>
      <w:r w:rsidRPr="00B82E2C">
        <w:rPr>
          <w:lang w:eastAsia="en-US"/>
        </w:rPr>
        <w:t>De konstaterede fejl og mangler vedrører primært følgende forhold:</w:t>
      </w:r>
    </w:p>
    <w:p w:rsidR="00445DFA" w:rsidRPr="00B82E2C" w:rsidRDefault="00445DFA" w:rsidP="00445DFA">
      <w:pPr>
        <w:pStyle w:val="Listeafsnit"/>
        <w:numPr>
          <w:ilvl w:val="0"/>
          <w:numId w:val="27"/>
        </w:numPr>
        <w:tabs>
          <w:tab w:val="clear" w:pos="284"/>
        </w:tabs>
        <w:spacing w:before="120"/>
      </w:pPr>
      <w:r w:rsidRPr="00B82E2C">
        <w:t>Antal arbejdstimer, der ligger til grund for beregningen af arbejdsmarkedsydelse, er ikke opgjort korrekt.</w:t>
      </w:r>
    </w:p>
    <w:p w:rsidR="00445DFA" w:rsidRPr="00B82E2C" w:rsidRDefault="00445DFA" w:rsidP="00445DFA">
      <w:r w:rsidRPr="00B82E2C">
        <w:t>Det er vores vurdering, at ovenstående fejlniveau kræver en større opmærksomhed fra ledelsens side, vedr. beregning af antal arbejdstimer der ligger til grund for beregningen af arbejdsmarkedsydelse.</w:t>
      </w:r>
      <w:r>
        <w:t>”</w:t>
      </w:r>
    </w:p>
    <w:p w:rsidR="00445DFA" w:rsidRPr="008D25FA" w:rsidRDefault="00445DFA" w:rsidP="00445DFA"/>
    <w:p w:rsidR="00445DFA" w:rsidRPr="008D25FA" w:rsidRDefault="00445DFA" w:rsidP="00445DFA">
      <w:pPr>
        <w:rPr>
          <w:u w:val="single"/>
        </w:rPr>
      </w:pPr>
      <w:r w:rsidRPr="008D25FA">
        <w:rPr>
          <w:u w:val="single"/>
        </w:rPr>
        <w:t>Bæredygtige konsekvenser</w:t>
      </w:r>
    </w:p>
    <w:p w:rsidR="00445DFA" w:rsidRPr="006A1DFB" w:rsidRDefault="00445DFA" w:rsidP="00445DFA">
      <w:r>
        <w:lastRenderedPageBreak/>
        <w:t>Forbedringer af de påpegede bemærkninger fra revisionen vil indebære en bæredygtig udvikling til at modtage færre bemærkninger fremover fra revisionen.</w:t>
      </w:r>
    </w:p>
    <w:p w:rsidR="00445DFA" w:rsidRPr="008D25FA" w:rsidRDefault="00445DFA" w:rsidP="00445DFA"/>
    <w:p w:rsidR="00445DFA" w:rsidRPr="008D25FA" w:rsidRDefault="00445DFA" w:rsidP="00445DFA">
      <w:pPr>
        <w:rPr>
          <w:u w:val="single"/>
        </w:rPr>
      </w:pPr>
      <w:r w:rsidRPr="008D25FA">
        <w:rPr>
          <w:u w:val="single"/>
        </w:rPr>
        <w:t>Økonomiske og administrative konsekvenser</w:t>
      </w:r>
    </w:p>
    <w:p w:rsidR="00445DFA" w:rsidRPr="008D25FA" w:rsidRDefault="00445DFA" w:rsidP="00445DFA">
      <w:r w:rsidRPr="002F47F6">
        <w:rPr>
          <w:szCs w:val="22"/>
        </w:rPr>
        <w:t>Revisionens bemærkninger inden</w:t>
      </w:r>
      <w:r>
        <w:rPr>
          <w:szCs w:val="22"/>
        </w:rPr>
        <w:t xml:space="preserve"> </w:t>
      </w:r>
      <w:r w:rsidRPr="002F47F6">
        <w:rPr>
          <w:szCs w:val="22"/>
        </w:rPr>
        <w:t xml:space="preserve">for </w:t>
      </w:r>
      <w:r>
        <w:rPr>
          <w:szCs w:val="22"/>
        </w:rPr>
        <w:t>Udvalget for Uddannelses</w:t>
      </w:r>
      <w:r w:rsidRPr="002F47F6">
        <w:rPr>
          <w:szCs w:val="22"/>
        </w:rPr>
        <w:t xml:space="preserve"> ansvarsområder har ikke direkte økonomiske konsekvenser for kommunen. Administrativt er det utilfredsstillende, at der er behov for bemærkninger fra Revisionens side</w:t>
      </w:r>
      <w:r>
        <w:rPr>
          <w:szCs w:val="22"/>
        </w:rPr>
        <w:t>.</w:t>
      </w:r>
    </w:p>
    <w:p w:rsidR="00445DFA" w:rsidRPr="008D25FA" w:rsidRDefault="00445DFA" w:rsidP="00445DFA"/>
    <w:p w:rsidR="00445DFA" w:rsidRPr="008D25FA" w:rsidRDefault="00445DFA" w:rsidP="00445DFA">
      <w:pPr>
        <w:rPr>
          <w:u w:val="single"/>
        </w:rPr>
      </w:pPr>
      <w:r w:rsidRPr="008D25FA">
        <w:rPr>
          <w:u w:val="single"/>
        </w:rPr>
        <w:t>Administrationens vurdering</w:t>
      </w:r>
    </w:p>
    <w:p w:rsidR="00445DFA" w:rsidRDefault="00445DFA" w:rsidP="00445DFA">
      <w:r w:rsidRPr="008A4D08">
        <w:t xml:space="preserve">I forhold til bemærkningen om interne kontroller </w:t>
      </w:r>
      <w:r>
        <w:t xml:space="preserve">har det ganske rigtigt været nødvendigt at anskaffe et kvalitetskontrolsystem, idet der gennem længere tid har været de samme bemærkninger om manglende ledelsestilsyn på arbejdsmarkedsområdet. Ledelserne i </w:t>
      </w:r>
      <w:proofErr w:type="spellStart"/>
      <w:r>
        <w:t>Majoriaq</w:t>
      </w:r>
      <w:proofErr w:type="spellEnd"/>
      <w:r>
        <w:t xml:space="preserve"> er begyndt at anvende det erhververede kvalitetskontrolsystem og ved de gennemførte ledelsestilsyn i løbet af juni-juli-september 2019 viser at </w:t>
      </w:r>
      <w:r w:rsidRPr="00900403">
        <w:t xml:space="preserve">arbejdsmarkedskontorerne i begge </w:t>
      </w:r>
      <w:proofErr w:type="spellStart"/>
      <w:r w:rsidRPr="00900403">
        <w:t>Majoriaq</w:t>
      </w:r>
      <w:proofErr w:type="spellEnd"/>
      <w:r w:rsidRPr="00900403">
        <w:t xml:space="preserve"> centre nu anvender</w:t>
      </w:r>
      <w:r>
        <w:t xml:space="preserve"> kvalitetskontrolsystemet samt anvender tjekskemaerne i den daglige sagsbehandling. I udpluk at tilfældige sager vedr. arbejdsmarkedsydelser i både 2. og 3.kvartals kontrol fandt man 1 sag med fejl. A</w:t>
      </w:r>
      <w:r w:rsidRPr="00900403">
        <w:t>rbejdsmarkedskontorerne</w:t>
      </w:r>
      <w:r>
        <w:t xml:space="preserve"> </w:t>
      </w:r>
      <w:r w:rsidRPr="00C35875">
        <w:t>foretage</w:t>
      </w:r>
      <w:r>
        <w:t>r</w:t>
      </w:r>
      <w:r w:rsidRPr="00C35875">
        <w:t xml:space="preserve"> af </w:t>
      </w:r>
      <w:r>
        <w:t xml:space="preserve">opfølgningstiltag for at </w:t>
      </w:r>
      <w:r w:rsidRPr="00C35875">
        <w:t>r</w:t>
      </w:r>
      <w:r>
        <w:t xml:space="preserve">ette op herpå og sikre fejlen </w:t>
      </w:r>
      <w:r w:rsidRPr="00C35875">
        <w:t>ikke sker fremadrettet</w:t>
      </w:r>
      <w:r>
        <w:t>.</w:t>
      </w:r>
    </w:p>
    <w:p w:rsidR="00445DFA" w:rsidRPr="008A4D08" w:rsidRDefault="00445DFA" w:rsidP="00445DFA"/>
    <w:p w:rsidR="00445DFA" w:rsidRPr="008A4D08" w:rsidRDefault="00445DFA" w:rsidP="00445DFA">
      <w:pPr>
        <w:rPr>
          <w:b/>
        </w:rPr>
      </w:pPr>
      <w:r w:rsidRPr="008A4D08">
        <w:rPr>
          <w:b/>
        </w:rPr>
        <w:t>Indstilling</w:t>
      </w:r>
    </w:p>
    <w:p w:rsidR="00445DFA" w:rsidRPr="008A4D08" w:rsidRDefault="00445DFA" w:rsidP="00445DFA">
      <w:r w:rsidRPr="008A4D08">
        <w:rPr>
          <w:sz w:val="23"/>
          <w:szCs w:val="23"/>
        </w:rPr>
        <w:t xml:space="preserve">Det indstilles, at </w:t>
      </w:r>
      <w:r>
        <w:rPr>
          <w:sz w:val="23"/>
          <w:szCs w:val="23"/>
        </w:rPr>
        <w:t xml:space="preserve">Udvalget for Uddannelse </w:t>
      </w:r>
      <w:r w:rsidRPr="008A4D08">
        <w:rPr>
          <w:sz w:val="23"/>
          <w:szCs w:val="23"/>
        </w:rPr>
        <w:t>godkender de forelagte forslag til besvarelse af revisionsberetningerne under administrationens vurdering</w:t>
      </w:r>
    </w:p>
    <w:p w:rsidR="00445DFA" w:rsidRPr="008A4D08" w:rsidRDefault="00445DFA" w:rsidP="00445DFA"/>
    <w:p w:rsidR="00445DFA" w:rsidRPr="008A4D08" w:rsidRDefault="00445DFA" w:rsidP="00445DFA">
      <w:pPr>
        <w:rPr>
          <w:b/>
        </w:rPr>
      </w:pPr>
      <w:r w:rsidRPr="008A4D08">
        <w:rPr>
          <w:b/>
        </w:rPr>
        <w:t>Afgørelse</w:t>
      </w:r>
    </w:p>
    <w:p w:rsidR="00445DFA" w:rsidRPr="008D25FA" w:rsidRDefault="00445DFA" w:rsidP="00445DFA"/>
    <w:p w:rsidR="00445DFA" w:rsidRPr="00AA07A2" w:rsidRDefault="00AA07A2" w:rsidP="00445DFA">
      <w:pPr>
        <w:rPr>
          <w:rFonts w:ascii="Arial" w:hAnsi="Arial" w:cs="Arial"/>
          <w:szCs w:val="24"/>
        </w:rPr>
      </w:pPr>
      <w:r w:rsidRPr="00AA07A2">
        <w:rPr>
          <w:rFonts w:ascii="Arial" w:hAnsi="Arial" w:cs="Arial"/>
          <w:szCs w:val="24"/>
        </w:rPr>
        <w:t>Sagsfremstillingen godkendt.</w:t>
      </w:r>
    </w:p>
    <w:p w:rsidR="00AA07A2" w:rsidRPr="008D25FA" w:rsidRDefault="00AA07A2" w:rsidP="00445DFA">
      <w:pPr>
        <w:rPr>
          <w:bCs/>
        </w:rPr>
      </w:pPr>
    </w:p>
    <w:p w:rsidR="00445DFA" w:rsidRPr="008D25FA" w:rsidRDefault="00445DFA" w:rsidP="00445DFA">
      <w:pPr>
        <w:rPr>
          <w:b/>
        </w:rPr>
      </w:pPr>
      <w:r w:rsidRPr="008D25FA">
        <w:rPr>
          <w:b/>
        </w:rPr>
        <w:t>Bilag</w:t>
      </w:r>
    </w:p>
    <w:p w:rsidR="00445DFA" w:rsidRPr="008D25FA" w:rsidRDefault="00445DFA" w:rsidP="00445DFA">
      <w:pPr>
        <w:numPr>
          <w:ilvl w:val="0"/>
          <w:numId w:val="2"/>
        </w:numPr>
        <w:tabs>
          <w:tab w:val="clear" w:pos="284"/>
        </w:tabs>
        <w:ind w:left="360"/>
      </w:pPr>
      <w:r>
        <w:rPr>
          <w:bCs/>
        </w:rPr>
        <w:t>Revisionsberetning nr. 28 og 31.</w:t>
      </w:r>
      <w:r>
        <w:rPr>
          <w:bCs/>
        </w:rPr>
        <w:tab/>
      </w:r>
    </w:p>
    <w:p w:rsidR="00445DFA" w:rsidRPr="002674E3" w:rsidRDefault="00445DFA" w:rsidP="00445DFA"/>
    <w:p w:rsidR="000B43A3" w:rsidRDefault="000B43A3" w:rsidP="007F1574">
      <w:pPr>
        <w:tabs>
          <w:tab w:val="clear" w:pos="284"/>
        </w:tabs>
        <w:spacing w:after="160" w:line="259" w:lineRule="auto"/>
        <w:rPr>
          <w:b/>
          <w:sz w:val="28"/>
          <w:szCs w:val="28"/>
          <w:u w:val="single"/>
        </w:rPr>
      </w:pPr>
    </w:p>
    <w:p w:rsidR="00445DFA" w:rsidRDefault="00445DFA">
      <w:pPr>
        <w:tabs>
          <w:tab w:val="clear" w:pos="284"/>
        </w:tabs>
        <w:spacing w:after="160" w:line="259" w:lineRule="auto"/>
        <w:rPr>
          <w:b/>
          <w:sz w:val="28"/>
          <w:szCs w:val="28"/>
          <w:u w:val="single"/>
        </w:rPr>
      </w:pPr>
      <w:r>
        <w:rPr>
          <w:b/>
          <w:sz w:val="28"/>
          <w:szCs w:val="28"/>
          <w:u w:val="single"/>
        </w:rPr>
        <w:br w:type="page"/>
      </w:r>
    </w:p>
    <w:p w:rsidR="00283E68" w:rsidRDefault="00283E68" w:rsidP="007F1574">
      <w:pPr>
        <w:tabs>
          <w:tab w:val="clear" w:pos="284"/>
        </w:tabs>
        <w:spacing w:after="160" w:line="259" w:lineRule="auto"/>
        <w:rPr>
          <w:b/>
          <w:sz w:val="28"/>
          <w:szCs w:val="28"/>
          <w:u w:val="single"/>
        </w:rPr>
      </w:pPr>
      <w:r w:rsidRPr="000161CB">
        <w:rPr>
          <w:b/>
          <w:sz w:val="28"/>
          <w:szCs w:val="28"/>
          <w:u w:val="single"/>
        </w:rPr>
        <w:lastRenderedPageBreak/>
        <w:t>Orienteringssager.</w:t>
      </w:r>
    </w:p>
    <w:p w:rsidR="00A07506" w:rsidRPr="004A1FE1" w:rsidRDefault="00A07506" w:rsidP="00A07506">
      <w:pPr>
        <w:keepNext/>
        <w:tabs>
          <w:tab w:val="clear" w:pos="284"/>
        </w:tabs>
        <w:spacing w:before="240"/>
        <w:outlineLvl w:val="0"/>
        <w:rPr>
          <w:rFonts w:eastAsia="MS Gothic"/>
          <w:b/>
          <w:color w:val="000000"/>
          <w:sz w:val="28"/>
          <w:szCs w:val="28"/>
          <w:lang w:eastAsia="ja-JP"/>
        </w:rPr>
      </w:pPr>
      <w:r w:rsidRPr="004A1FE1">
        <w:rPr>
          <w:rFonts w:eastAsia="MS Gothic"/>
          <w:b/>
          <w:color w:val="000000"/>
          <w:sz w:val="28"/>
          <w:szCs w:val="28"/>
          <w:lang w:eastAsia="ja-JP"/>
        </w:rPr>
        <w:softHyphen/>
        <w:t>Punkt 0</w:t>
      </w:r>
      <w:r w:rsidR="009F5D4A">
        <w:rPr>
          <w:rFonts w:eastAsia="MS Gothic"/>
          <w:b/>
          <w:color w:val="000000"/>
          <w:sz w:val="28"/>
          <w:szCs w:val="28"/>
          <w:lang w:eastAsia="ja-JP"/>
        </w:rPr>
        <w:t>8</w:t>
      </w:r>
      <w:r w:rsidRPr="004A1FE1">
        <w:rPr>
          <w:rFonts w:eastAsia="MS Gothic"/>
          <w:b/>
          <w:color w:val="000000"/>
          <w:sz w:val="28"/>
          <w:szCs w:val="28"/>
          <w:lang w:eastAsia="ja-JP"/>
        </w:rPr>
        <w:t xml:space="preserve"> Forslag til takster i uddannelsesområdet</w:t>
      </w:r>
    </w:p>
    <w:p w:rsidR="00A07506" w:rsidRPr="00A07506" w:rsidRDefault="00A07506" w:rsidP="00A07506">
      <w:pPr>
        <w:keepNext/>
        <w:tabs>
          <w:tab w:val="clear" w:pos="284"/>
        </w:tabs>
        <w:spacing w:before="240"/>
        <w:outlineLvl w:val="0"/>
        <w:rPr>
          <w:rFonts w:eastAsia="MS Gothic"/>
          <w:b/>
          <w:i/>
          <w:color w:val="000000"/>
          <w:szCs w:val="24"/>
        </w:rPr>
      </w:pPr>
      <w:r w:rsidRPr="00A07506">
        <w:rPr>
          <w:rFonts w:eastAsia="MS Gothic"/>
          <w:i/>
          <w:color w:val="000000"/>
          <w:szCs w:val="24"/>
        </w:rPr>
        <w:t>Journal nr. 44.00.05</w:t>
      </w:r>
    </w:p>
    <w:p w:rsidR="00A07506" w:rsidRPr="00A07506" w:rsidRDefault="00A07506" w:rsidP="00A07506">
      <w:pPr>
        <w:tabs>
          <w:tab w:val="clear" w:pos="284"/>
        </w:tabs>
        <w:rPr>
          <w:rFonts w:eastAsia="MS Gothic"/>
          <w:szCs w:val="24"/>
        </w:rPr>
      </w:pPr>
    </w:p>
    <w:p w:rsidR="00A07506" w:rsidRPr="00A07506" w:rsidRDefault="00A07506" w:rsidP="00A07506">
      <w:pPr>
        <w:tabs>
          <w:tab w:val="clear" w:pos="284"/>
        </w:tabs>
        <w:rPr>
          <w:rFonts w:eastAsia="MS Gothic"/>
          <w:b/>
          <w:szCs w:val="24"/>
          <w:u w:val="single"/>
        </w:rPr>
      </w:pPr>
      <w:r w:rsidRPr="00A07506">
        <w:rPr>
          <w:rFonts w:eastAsia="MS Gothic"/>
          <w:b/>
          <w:szCs w:val="24"/>
          <w:u w:val="single"/>
        </w:rPr>
        <w:t>Baggrund</w:t>
      </w:r>
    </w:p>
    <w:p w:rsidR="00A07506" w:rsidRPr="00A07506" w:rsidRDefault="00A07506" w:rsidP="00A07506">
      <w:pPr>
        <w:tabs>
          <w:tab w:val="clear" w:pos="284"/>
        </w:tabs>
        <w:rPr>
          <w:rFonts w:eastAsia="MS Gothic"/>
          <w:szCs w:val="24"/>
        </w:rPr>
      </w:pPr>
    </w:p>
    <w:p w:rsidR="00A07506" w:rsidRPr="00A07506" w:rsidRDefault="00A07506" w:rsidP="00A07506">
      <w:pPr>
        <w:tabs>
          <w:tab w:val="clear" w:pos="284"/>
        </w:tabs>
        <w:rPr>
          <w:rFonts w:eastAsia="MS Gothic"/>
          <w:szCs w:val="24"/>
        </w:rPr>
      </w:pPr>
      <w:r w:rsidRPr="00A07506">
        <w:rPr>
          <w:rFonts w:eastAsia="MS Gothic"/>
          <w:szCs w:val="24"/>
        </w:rPr>
        <w:t xml:space="preserve">Taksterne fastsættes på grundlag af kommunernes udgifter til pædagogiske udviklende kommunale dagtilbud til børn i førskolealderen og de økonomiske forhold hos den eller de betalingspligtige. Taksterne fastsættes efter en skala som Selvstyrets bekendtgørelse nr. 3 af 4. februar 2011 har udstukket. </w:t>
      </w:r>
    </w:p>
    <w:p w:rsidR="00A07506" w:rsidRPr="00A07506" w:rsidRDefault="00A07506" w:rsidP="00A07506">
      <w:pPr>
        <w:tabs>
          <w:tab w:val="clear" w:pos="284"/>
        </w:tabs>
        <w:rPr>
          <w:rFonts w:eastAsia="MS Gothic"/>
          <w:szCs w:val="24"/>
        </w:rPr>
      </w:pPr>
    </w:p>
    <w:p w:rsidR="00A07506" w:rsidRPr="00A07506" w:rsidRDefault="00A07506" w:rsidP="00A07506">
      <w:pPr>
        <w:tabs>
          <w:tab w:val="clear" w:pos="284"/>
        </w:tabs>
        <w:rPr>
          <w:rFonts w:eastAsia="MS Gothic"/>
          <w:szCs w:val="24"/>
        </w:rPr>
      </w:pPr>
      <w:r w:rsidRPr="00A07506">
        <w:rPr>
          <w:rFonts w:eastAsia="MS Gothic"/>
          <w:b/>
          <w:szCs w:val="24"/>
          <w:u w:val="single"/>
        </w:rPr>
        <w:t xml:space="preserve">Regelgrundlag </w:t>
      </w:r>
      <w:r w:rsidRPr="00A07506">
        <w:rPr>
          <w:rFonts w:eastAsia="MS Gothic"/>
          <w:b/>
          <w:szCs w:val="24"/>
          <w:u w:val="single"/>
        </w:rPr>
        <w:br/>
      </w:r>
      <w:r w:rsidRPr="00A07506">
        <w:rPr>
          <w:rFonts w:eastAsia="MS Gothic"/>
          <w:szCs w:val="24"/>
        </w:rPr>
        <w:t xml:space="preserve">Selvstyrets bekendtgørelse nr. 3 af 4 februar 2011om ”Takstbetaling for pædagogisk udviklende kommunale dagtilbud til børn i førskolealderen”. </w:t>
      </w:r>
    </w:p>
    <w:p w:rsidR="00A07506" w:rsidRPr="00A07506" w:rsidRDefault="00A07506" w:rsidP="00A07506">
      <w:pPr>
        <w:tabs>
          <w:tab w:val="clear" w:pos="284"/>
        </w:tabs>
        <w:rPr>
          <w:rFonts w:eastAsia="MS Gothic"/>
          <w:szCs w:val="24"/>
        </w:rPr>
      </w:pPr>
    </w:p>
    <w:p w:rsidR="00A07506" w:rsidRPr="00A07506" w:rsidRDefault="00A07506" w:rsidP="00A07506">
      <w:pPr>
        <w:tabs>
          <w:tab w:val="clear" w:pos="284"/>
        </w:tabs>
        <w:rPr>
          <w:rFonts w:eastAsia="MS Gothic"/>
          <w:b/>
          <w:szCs w:val="24"/>
          <w:u w:val="single"/>
        </w:rPr>
      </w:pPr>
      <w:r w:rsidRPr="00A07506">
        <w:rPr>
          <w:rFonts w:eastAsia="MS Gothic"/>
          <w:b/>
          <w:szCs w:val="24"/>
          <w:u w:val="single"/>
        </w:rPr>
        <w:t>Faktiske forhold</w:t>
      </w:r>
      <w:r w:rsidRPr="00A07506">
        <w:rPr>
          <w:rFonts w:eastAsia="MS Gothic"/>
          <w:b/>
          <w:szCs w:val="24"/>
          <w:u w:val="single"/>
        </w:rPr>
        <w:br/>
      </w:r>
    </w:p>
    <w:p w:rsidR="00A07506" w:rsidRPr="00A07506" w:rsidRDefault="00A07506" w:rsidP="00A07506">
      <w:pPr>
        <w:tabs>
          <w:tab w:val="clear" w:pos="284"/>
        </w:tabs>
        <w:rPr>
          <w:rFonts w:eastAsia="MS Gothic"/>
          <w:szCs w:val="24"/>
        </w:rPr>
      </w:pPr>
      <w:r w:rsidRPr="00A07506">
        <w:rPr>
          <w:rFonts w:eastAsia="MS Gothic"/>
          <w:szCs w:val="24"/>
        </w:rPr>
        <w:t>Børnenormeringen ser således ud for 2020</w:t>
      </w:r>
    </w:p>
    <w:tbl>
      <w:tblPr>
        <w:tblStyle w:val="Tabel-Gitter1"/>
        <w:tblW w:w="0" w:type="auto"/>
        <w:tblLook w:val="04A0" w:firstRow="1" w:lastRow="0" w:firstColumn="1" w:lastColumn="0" w:noHBand="0" w:noVBand="1"/>
      </w:tblPr>
      <w:tblGrid>
        <w:gridCol w:w="1643"/>
        <w:gridCol w:w="1243"/>
        <w:gridCol w:w="1256"/>
        <w:gridCol w:w="1103"/>
        <w:gridCol w:w="1197"/>
        <w:gridCol w:w="1181"/>
        <w:gridCol w:w="1323"/>
        <w:gridCol w:w="682"/>
      </w:tblGrid>
      <w:tr w:rsidR="00A07506" w:rsidRPr="00A07506" w:rsidTr="002255CF">
        <w:tc>
          <w:tcPr>
            <w:tcW w:w="1203" w:type="dxa"/>
          </w:tcPr>
          <w:p w:rsidR="00A07506" w:rsidRPr="00A07506" w:rsidRDefault="00A07506" w:rsidP="00A07506">
            <w:pPr>
              <w:tabs>
                <w:tab w:val="clear" w:pos="284"/>
              </w:tabs>
              <w:rPr>
                <w:rFonts w:eastAsia="MS Gothic"/>
                <w:szCs w:val="24"/>
              </w:rPr>
            </w:pPr>
            <w:r w:rsidRPr="00A07506">
              <w:rPr>
                <w:rFonts w:eastAsia="MS Gothic"/>
                <w:szCs w:val="24"/>
              </w:rPr>
              <w:t>By / Bygd</w:t>
            </w:r>
          </w:p>
        </w:tc>
        <w:tc>
          <w:tcPr>
            <w:tcW w:w="1203" w:type="dxa"/>
          </w:tcPr>
          <w:p w:rsidR="00A07506" w:rsidRPr="00A07506" w:rsidRDefault="00A07506" w:rsidP="00A07506">
            <w:pPr>
              <w:tabs>
                <w:tab w:val="clear" w:pos="284"/>
              </w:tabs>
              <w:rPr>
                <w:rFonts w:eastAsia="MS Gothic"/>
                <w:szCs w:val="24"/>
              </w:rPr>
            </w:pPr>
            <w:r w:rsidRPr="00A07506">
              <w:rPr>
                <w:rFonts w:eastAsia="MS Gothic"/>
                <w:szCs w:val="24"/>
              </w:rPr>
              <w:t>Vuggestue</w:t>
            </w:r>
          </w:p>
        </w:tc>
        <w:tc>
          <w:tcPr>
            <w:tcW w:w="1203" w:type="dxa"/>
          </w:tcPr>
          <w:p w:rsidR="00A07506" w:rsidRPr="00A07506" w:rsidRDefault="00A07506" w:rsidP="00A07506">
            <w:pPr>
              <w:tabs>
                <w:tab w:val="clear" w:pos="284"/>
              </w:tabs>
              <w:rPr>
                <w:rFonts w:eastAsia="MS Gothic"/>
                <w:szCs w:val="24"/>
              </w:rPr>
            </w:pPr>
            <w:r w:rsidRPr="00A07506">
              <w:rPr>
                <w:rFonts w:eastAsia="MS Gothic"/>
                <w:szCs w:val="24"/>
              </w:rPr>
              <w:t xml:space="preserve">Børnehave </w:t>
            </w:r>
          </w:p>
        </w:tc>
        <w:tc>
          <w:tcPr>
            <w:tcW w:w="1203" w:type="dxa"/>
          </w:tcPr>
          <w:p w:rsidR="00A07506" w:rsidRPr="00A07506" w:rsidRDefault="00A07506" w:rsidP="00A07506">
            <w:pPr>
              <w:tabs>
                <w:tab w:val="clear" w:pos="284"/>
              </w:tabs>
              <w:rPr>
                <w:rFonts w:eastAsia="MS Gothic"/>
                <w:szCs w:val="24"/>
              </w:rPr>
            </w:pPr>
            <w:r w:rsidRPr="00A07506">
              <w:rPr>
                <w:rFonts w:eastAsia="MS Gothic"/>
                <w:szCs w:val="24"/>
              </w:rPr>
              <w:t xml:space="preserve">Dagpleje </w:t>
            </w:r>
          </w:p>
        </w:tc>
        <w:tc>
          <w:tcPr>
            <w:tcW w:w="1204" w:type="dxa"/>
          </w:tcPr>
          <w:p w:rsidR="00A07506" w:rsidRPr="00A07506" w:rsidRDefault="00A07506" w:rsidP="00A07506">
            <w:pPr>
              <w:tabs>
                <w:tab w:val="clear" w:pos="284"/>
              </w:tabs>
              <w:rPr>
                <w:rFonts w:eastAsia="MS Gothic"/>
                <w:szCs w:val="24"/>
              </w:rPr>
            </w:pPr>
            <w:proofErr w:type="spellStart"/>
            <w:r w:rsidRPr="00A07506">
              <w:rPr>
                <w:rFonts w:eastAsia="MS Gothic"/>
                <w:szCs w:val="24"/>
              </w:rPr>
              <w:t>Dagp.cent</w:t>
            </w:r>
            <w:proofErr w:type="spellEnd"/>
          </w:p>
        </w:tc>
        <w:tc>
          <w:tcPr>
            <w:tcW w:w="1204" w:type="dxa"/>
          </w:tcPr>
          <w:p w:rsidR="00A07506" w:rsidRPr="00A07506" w:rsidRDefault="00A07506" w:rsidP="00A07506">
            <w:pPr>
              <w:tabs>
                <w:tab w:val="clear" w:pos="284"/>
              </w:tabs>
              <w:rPr>
                <w:rFonts w:eastAsia="MS Gothic"/>
                <w:szCs w:val="24"/>
              </w:rPr>
            </w:pPr>
            <w:proofErr w:type="spellStart"/>
            <w:r w:rsidRPr="00A07506">
              <w:rPr>
                <w:rFonts w:eastAsia="MS Gothic"/>
                <w:szCs w:val="24"/>
              </w:rPr>
              <w:t>Integ.inst</w:t>
            </w:r>
            <w:proofErr w:type="spellEnd"/>
            <w:r w:rsidRPr="00A07506">
              <w:rPr>
                <w:rFonts w:eastAsia="MS Gothic"/>
                <w:szCs w:val="24"/>
              </w:rPr>
              <w:t>.</w:t>
            </w: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Fritidshjem</w:t>
            </w: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 xml:space="preserve">I alt </w:t>
            </w:r>
          </w:p>
        </w:tc>
      </w:tr>
      <w:tr w:rsidR="00A07506" w:rsidRPr="00A07506" w:rsidTr="002255CF">
        <w:tc>
          <w:tcPr>
            <w:tcW w:w="1203" w:type="dxa"/>
          </w:tcPr>
          <w:p w:rsidR="00A07506" w:rsidRPr="00A07506" w:rsidRDefault="00A07506" w:rsidP="00A07506">
            <w:pPr>
              <w:tabs>
                <w:tab w:val="clear" w:pos="284"/>
              </w:tabs>
              <w:rPr>
                <w:rFonts w:eastAsia="MS Gothic"/>
                <w:szCs w:val="24"/>
              </w:rPr>
            </w:pPr>
            <w:r w:rsidRPr="00A07506">
              <w:rPr>
                <w:rFonts w:eastAsia="MS Gothic"/>
                <w:szCs w:val="24"/>
              </w:rPr>
              <w:t xml:space="preserve">Sisimiut </w:t>
            </w:r>
          </w:p>
        </w:tc>
        <w:tc>
          <w:tcPr>
            <w:tcW w:w="1203" w:type="dxa"/>
          </w:tcPr>
          <w:p w:rsidR="00A07506" w:rsidRPr="00A07506" w:rsidRDefault="00A07506" w:rsidP="00A07506">
            <w:pPr>
              <w:tabs>
                <w:tab w:val="clear" w:pos="284"/>
              </w:tabs>
              <w:rPr>
                <w:rFonts w:eastAsia="MS Gothic"/>
                <w:szCs w:val="24"/>
              </w:rPr>
            </w:pPr>
            <w:r w:rsidRPr="00A07506">
              <w:rPr>
                <w:rFonts w:eastAsia="MS Gothic"/>
                <w:szCs w:val="24"/>
              </w:rPr>
              <w:t>48</w:t>
            </w:r>
          </w:p>
        </w:tc>
        <w:tc>
          <w:tcPr>
            <w:tcW w:w="1203" w:type="dxa"/>
          </w:tcPr>
          <w:p w:rsidR="00A07506" w:rsidRPr="00A07506" w:rsidRDefault="00A07506" w:rsidP="00A07506">
            <w:pPr>
              <w:tabs>
                <w:tab w:val="clear" w:pos="284"/>
              </w:tabs>
              <w:rPr>
                <w:rFonts w:eastAsia="MS Gothic"/>
                <w:szCs w:val="24"/>
              </w:rPr>
            </w:pPr>
            <w:r w:rsidRPr="00A07506">
              <w:rPr>
                <w:rFonts w:eastAsia="MS Gothic"/>
                <w:szCs w:val="24"/>
              </w:rPr>
              <w:t>60</w:t>
            </w:r>
          </w:p>
        </w:tc>
        <w:tc>
          <w:tcPr>
            <w:tcW w:w="1203" w:type="dxa"/>
          </w:tcPr>
          <w:p w:rsidR="00A07506" w:rsidRPr="00A07506" w:rsidRDefault="00A07506" w:rsidP="00A07506">
            <w:pPr>
              <w:tabs>
                <w:tab w:val="clear" w:pos="284"/>
              </w:tabs>
              <w:rPr>
                <w:rFonts w:eastAsia="MS Gothic"/>
                <w:szCs w:val="24"/>
              </w:rPr>
            </w:pPr>
            <w:r w:rsidRPr="00A07506">
              <w:rPr>
                <w:rFonts w:eastAsia="MS Gothic"/>
                <w:szCs w:val="24"/>
              </w:rPr>
              <w:t>12</w:t>
            </w:r>
          </w:p>
        </w:tc>
        <w:tc>
          <w:tcPr>
            <w:tcW w:w="1204"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334</w:t>
            </w: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143</w:t>
            </w: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597</w:t>
            </w:r>
          </w:p>
        </w:tc>
      </w:tr>
      <w:tr w:rsidR="00A07506" w:rsidRPr="00A07506" w:rsidTr="002255CF">
        <w:tc>
          <w:tcPr>
            <w:tcW w:w="1203" w:type="dxa"/>
          </w:tcPr>
          <w:p w:rsidR="00A07506" w:rsidRPr="00A07506" w:rsidRDefault="00A07506" w:rsidP="00A07506">
            <w:pPr>
              <w:tabs>
                <w:tab w:val="clear" w:pos="284"/>
              </w:tabs>
              <w:rPr>
                <w:rFonts w:eastAsia="MS Gothic"/>
                <w:szCs w:val="24"/>
              </w:rPr>
            </w:pPr>
            <w:r w:rsidRPr="00A07506">
              <w:rPr>
                <w:rFonts w:eastAsia="MS Gothic"/>
                <w:szCs w:val="24"/>
              </w:rPr>
              <w:t>Maniitsoq</w:t>
            </w:r>
          </w:p>
        </w:tc>
        <w:tc>
          <w:tcPr>
            <w:tcW w:w="1203" w:type="dxa"/>
          </w:tcPr>
          <w:p w:rsidR="00A07506" w:rsidRPr="00A07506" w:rsidRDefault="00A07506" w:rsidP="00A07506">
            <w:pPr>
              <w:tabs>
                <w:tab w:val="clear" w:pos="284"/>
              </w:tabs>
              <w:rPr>
                <w:rFonts w:eastAsia="MS Gothic"/>
                <w:szCs w:val="24"/>
              </w:rPr>
            </w:pPr>
          </w:p>
        </w:tc>
        <w:tc>
          <w:tcPr>
            <w:tcW w:w="1203" w:type="dxa"/>
          </w:tcPr>
          <w:p w:rsidR="00A07506" w:rsidRPr="00A07506" w:rsidRDefault="00A07506" w:rsidP="00A07506">
            <w:pPr>
              <w:tabs>
                <w:tab w:val="clear" w:pos="284"/>
              </w:tabs>
              <w:rPr>
                <w:rFonts w:eastAsia="MS Gothic"/>
                <w:szCs w:val="24"/>
              </w:rPr>
            </w:pPr>
            <w:r w:rsidRPr="00A07506">
              <w:rPr>
                <w:rFonts w:eastAsia="MS Gothic"/>
                <w:szCs w:val="24"/>
              </w:rPr>
              <w:t>54</w:t>
            </w:r>
          </w:p>
        </w:tc>
        <w:tc>
          <w:tcPr>
            <w:tcW w:w="1203"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124</w:t>
            </w: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40</w:t>
            </w: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218</w:t>
            </w:r>
          </w:p>
        </w:tc>
      </w:tr>
      <w:tr w:rsidR="00A07506" w:rsidRPr="00A07506" w:rsidTr="002255CF">
        <w:tc>
          <w:tcPr>
            <w:tcW w:w="1203" w:type="dxa"/>
          </w:tcPr>
          <w:p w:rsidR="00A07506" w:rsidRPr="00A07506" w:rsidRDefault="00A07506" w:rsidP="00A07506">
            <w:pPr>
              <w:tabs>
                <w:tab w:val="clear" w:pos="284"/>
              </w:tabs>
              <w:rPr>
                <w:rFonts w:eastAsia="MS Gothic"/>
                <w:szCs w:val="24"/>
              </w:rPr>
            </w:pPr>
            <w:proofErr w:type="spellStart"/>
            <w:r w:rsidRPr="00A07506">
              <w:rPr>
                <w:rFonts w:eastAsia="MS Gothic"/>
                <w:szCs w:val="24"/>
              </w:rPr>
              <w:t>Kangerlussuag</w:t>
            </w:r>
            <w:proofErr w:type="spellEnd"/>
          </w:p>
        </w:tc>
        <w:tc>
          <w:tcPr>
            <w:tcW w:w="1203" w:type="dxa"/>
          </w:tcPr>
          <w:p w:rsidR="00A07506" w:rsidRPr="00A07506" w:rsidRDefault="00A07506" w:rsidP="00A07506">
            <w:pPr>
              <w:tabs>
                <w:tab w:val="clear" w:pos="284"/>
              </w:tabs>
              <w:rPr>
                <w:rFonts w:eastAsia="MS Gothic"/>
                <w:szCs w:val="24"/>
              </w:rPr>
            </w:pPr>
          </w:p>
        </w:tc>
        <w:tc>
          <w:tcPr>
            <w:tcW w:w="1203" w:type="dxa"/>
          </w:tcPr>
          <w:p w:rsidR="00A07506" w:rsidRPr="00A07506" w:rsidRDefault="00A07506" w:rsidP="00A07506">
            <w:pPr>
              <w:tabs>
                <w:tab w:val="clear" w:pos="284"/>
              </w:tabs>
              <w:rPr>
                <w:rFonts w:eastAsia="MS Gothic"/>
                <w:szCs w:val="24"/>
              </w:rPr>
            </w:pPr>
          </w:p>
        </w:tc>
        <w:tc>
          <w:tcPr>
            <w:tcW w:w="1203"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44</w:t>
            </w:r>
          </w:p>
        </w:tc>
        <w:tc>
          <w:tcPr>
            <w:tcW w:w="1204"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44</w:t>
            </w:r>
          </w:p>
        </w:tc>
      </w:tr>
      <w:tr w:rsidR="00A07506" w:rsidRPr="00A07506" w:rsidTr="002255CF">
        <w:tc>
          <w:tcPr>
            <w:tcW w:w="1203" w:type="dxa"/>
          </w:tcPr>
          <w:p w:rsidR="00A07506" w:rsidRPr="00A07506" w:rsidRDefault="00A07506" w:rsidP="00A07506">
            <w:pPr>
              <w:tabs>
                <w:tab w:val="clear" w:pos="284"/>
              </w:tabs>
              <w:rPr>
                <w:rFonts w:eastAsia="MS Gothic"/>
                <w:szCs w:val="24"/>
              </w:rPr>
            </w:pPr>
            <w:proofErr w:type="spellStart"/>
            <w:r w:rsidRPr="00A07506">
              <w:rPr>
                <w:rFonts w:eastAsia="MS Gothic"/>
                <w:szCs w:val="24"/>
              </w:rPr>
              <w:t>Kangaamiut</w:t>
            </w:r>
            <w:proofErr w:type="spellEnd"/>
          </w:p>
        </w:tc>
        <w:tc>
          <w:tcPr>
            <w:tcW w:w="1203" w:type="dxa"/>
          </w:tcPr>
          <w:p w:rsidR="00A07506" w:rsidRPr="00A07506" w:rsidRDefault="00A07506" w:rsidP="00A07506">
            <w:pPr>
              <w:tabs>
                <w:tab w:val="clear" w:pos="284"/>
              </w:tabs>
              <w:rPr>
                <w:rFonts w:eastAsia="MS Gothic"/>
                <w:szCs w:val="24"/>
              </w:rPr>
            </w:pPr>
          </w:p>
        </w:tc>
        <w:tc>
          <w:tcPr>
            <w:tcW w:w="1203" w:type="dxa"/>
          </w:tcPr>
          <w:p w:rsidR="00A07506" w:rsidRPr="00A07506" w:rsidRDefault="00A07506" w:rsidP="00A07506">
            <w:pPr>
              <w:tabs>
                <w:tab w:val="clear" w:pos="284"/>
              </w:tabs>
              <w:rPr>
                <w:rFonts w:eastAsia="MS Gothic"/>
                <w:szCs w:val="24"/>
              </w:rPr>
            </w:pPr>
          </w:p>
        </w:tc>
        <w:tc>
          <w:tcPr>
            <w:tcW w:w="1203"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28</w:t>
            </w:r>
          </w:p>
        </w:tc>
        <w:tc>
          <w:tcPr>
            <w:tcW w:w="1204"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28</w:t>
            </w:r>
          </w:p>
        </w:tc>
      </w:tr>
      <w:tr w:rsidR="00A07506" w:rsidRPr="00A07506" w:rsidTr="002255CF">
        <w:tc>
          <w:tcPr>
            <w:tcW w:w="1203" w:type="dxa"/>
          </w:tcPr>
          <w:p w:rsidR="00A07506" w:rsidRPr="00A07506" w:rsidRDefault="00A07506" w:rsidP="00A07506">
            <w:pPr>
              <w:tabs>
                <w:tab w:val="clear" w:pos="284"/>
              </w:tabs>
              <w:rPr>
                <w:rFonts w:eastAsia="MS Gothic"/>
                <w:szCs w:val="24"/>
              </w:rPr>
            </w:pPr>
            <w:proofErr w:type="spellStart"/>
            <w:r w:rsidRPr="00A07506">
              <w:rPr>
                <w:rFonts w:eastAsia="MS Gothic"/>
                <w:szCs w:val="24"/>
              </w:rPr>
              <w:t>Atammik</w:t>
            </w:r>
            <w:proofErr w:type="spellEnd"/>
          </w:p>
        </w:tc>
        <w:tc>
          <w:tcPr>
            <w:tcW w:w="1203" w:type="dxa"/>
          </w:tcPr>
          <w:p w:rsidR="00A07506" w:rsidRPr="00A07506" w:rsidRDefault="00A07506" w:rsidP="00A07506">
            <w:pPr>
              <w:tabs>
                <w:tab w:val="clear" w:pos="284"/>
              </w:tabs>
              <w:rPr>
                <w:rFonts w:eastAsia="MS Gothic"/>
                <w:szCs w:val="24"/>
              </w:rPr>
            </w:pPr>
          </w:p>
        </w:tc>
        <w:tc>
          <w:tcPr>
            <w:tcW w:w="1203" w:type="dxa"/>
          </w:tcPr>
          <w:p w:rsidR="00A07506" w:rsidRPr="00A07506" w:rsidRDefault="00A07506" w:rsidP="00A07506">
            <w:pPr>
              <w:tabs>
                <w:tab w:val="clear" w:pos="284"/>
              </w:tabs>
              <w:rPr>
                <w:rFonts w:eastAsia="MS Gothic"/>
                <w:szCs w:val="24"/>
              </w:rPr>
            </w:pPr>
          </w:p>
        </w:tc>
        <w:tc>
          <w:tcPr>
            <w:tcW w:w="1203"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27</w:t>
            </w:r>
          </w:p>
        </w:tc>
        <w:tc>
          <w:tcPr>
            <w:tcW w:w="1204"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27</w:t>
            </w:r>
          </w:p>
        </w:tc>
      </w:tr>
      <w:tr w:rsidR="00A07506" w:rsidRPr="00A07506" w:rsidTr="002255CF">
        <w:tc>
          <w:tcPr>
            <w:tcW w:w="1203" w:type="dxa"/>
          </w:tcPr>
          <w:p w:rsidR="00A07506" w:rsidRPr="00A07506" w:rsidRDefault="00A07506" w:rsidP="00A07506">
            <w:pPr>
              <w:tabs>
                <w:tab w:val="clear" w:pos="284"/>
              </w:tabs>
              <w:rPr>
                <w:rFonts w:eastAsia="MS Gothic"/>
                <w:szCs w:val="24"/>
              </w:rPr>
            </w:pPr>
            <w:r w:rsidRPr="00A07506">
              <w:rPr>
                <w:rFonts w:eastAsia="MS Gothic"/>
                <w:szCs w:val="24"/>
              </w:rPr>
              <w:t>Sarfannguit</w:t>
            </w:r>
          </w:p>
        </w:tc>
        <w:tc>
          <w:tcPr>
            <w:tcW w:w="1203" w:type="dxa"/>
          </w:tcPr>
          <w:p w:rsidR="00A07506" w:rsidRPr="00A07506" w:rsidRDefault="00A07506" w:rsidP="00A07506">
            <w:pPr>
              <w:tabs>
                <w:tab w:val="clear" w:pos="284"/>
              </w:tabs>
              <w:rPr>
                <w:rFonts w:eastAsia="MS Gothic"/>
                <w:szCs w:val="24"/>
              </w:rPr>
            </w:pPr>
          </w:p>
        </w:tc>
        <w:tc>
          <w:tcPr>
            <w:tcW w:w="1203" w:type="dxa"/>
          </w:tcPr>
          <w:p w:rsidR="00A07506" w:rsidRPr="00A07506" w:rsidRDefault="00A07506" w:rsidP="00A07506">
            <w:pPr>
              <w:tabs>
                <w:tab w:val="clear" w:pos="284"/>
              </w:tabs>
              <w:rPr>
                <w:rFonts w:eastAsia="MS Gothic"/>
                <w:szCs w:val="24"/>
              </w:rPr>
            </w:pPr>
          </w:p>
        </w:tc>
        <w:tc>
          <w:tcPr>
            <w:tcW w:w="1203"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12</w:t>
            </w:r>
          </w:p>
        </w:tc>
        <w:tc>
          <w:tcPr>
            <w:tcW w:w="1204"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12</w:t>
            </w:r>
          </w:p>
        </w:tc>
      </w:tr>
      <w:tr w:rsidR="00A07506" w:rsidRPr="00A07506" w:rsidTr="002255CF">
        <w:tc>
          <w:tcPr>
            <w:tcW w:w="1203" w:type="dxa"/>
          </w:tcPr>
          <w:p w:rsidR="00A07506" w:rsidRPr="00A07506" w:rsidRDefault="00A07506" w:rsidP="00A07506">
            <w:pPr>
              <w:tabs>
                <w:tab w:val="clear" w:pos="284"/>
              </w:tabs>
              <w:rPr>
                <w:rFonts w:eastAsia="MS Gothic"/>
                <w:szCs w:val="24"/>
              </w:rPr>
            </w:pPr>
            <w:r w:rsidRPr="00A07506">
              <w:rPr>
                <w:rFonts w:eastAsia="MS Gothic"/>
                <w:szCs w:val="24"/>
              </w:rPr>
              <w:t>Itilleq</w:t>
            </w:r>
          </w:p>
        </w:tc>
        <w:tc>
          <w:tcPr>
            <w:tcW w:w="1203" w:type="dxa"/>
          </w:tcPr>
          <w:p w:rsidR="00A07506" w:rsidRPr="00A07506" w:rsidRDefault="00A07506" w:rsidP="00A07506">
            <w:pPr>
              <w:tabs>
                <w:tab w:val="clear" w:pos="284"/>
              </w:tabs>
              <w:rPr>
                <w:rFonts w:eastAsia="MS Gothic"/>
                <w:szCs w:val="24"/>
              </w:rPr>
            </w:pPr>
          </w:p>
        </w:tc>
        <w:tc>
          <w:tcPr>
            <w:tcW w:w="1203" w:type="dxa"/>
          </w:tcPr>
          <w:p w:rsidR="00A07506" w:rsidRPr="00A07506" w:rsidRDefault="00A07506" w:rsidP="00A07506">
            <w:pPr>
              <w:tabs>
                <w:tab w:val="clear" w:pos="284"/>
              </w:tabs>
              <w:rPr>
                <w:rFonts w:eastAsia="MS Gothic"/>
                <w:szCs w:val="24"/>
              </w:rPr>
            </w:pPr>
          </w:p>
        </w:tc>
        <w:tc>
          <w:tcPr>
            <w:tcW w:w="1203"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12</w:t>
            </w:r>
          </w:p>
        </w:tc>
        <w:tc>
          <w:tcPr>
            <w:tcW w:w="1204"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12</w:t>
            </w:r>
          </w:p>
        </w:tc>
      </w:tr>
      <w:tr w:rsidR="00A07506" w:rsidRPr="00A07506" w:rsidTr="002255CF">
        <w:tc>
          <w:tcPr>
            <w:tcW w:w="1203" w:type="dxa"/>
          </w:tcPr>
          <w:p w:rsidR="00A07506" w:rsidRPr="00A07506" w:rsidRDefault="00A07506" w:rsidP="00A07506">
            <w:pPr>
              <w:tabs>
                <w:tab w:val="clear" w:pos="284"/>
              </w:tabs>
              <w:rPr>
                <w:rFonts w:eastAsia="MS Gothic"/>
                <w:szCs w:val="24"/>
              </w:rPr>
            </w:pPr>
            <w:proofErr w:type="spellStart"/>
            <w:r w:rsidRPr="00A07506">
              <w:rPr>
                <w:rFonts w:eastAsia="MS Gothic"/>
                <w:szCs w:val="24"/>
              </w:rPr>
              <w:t>Napasoq</w:t>
            </w:r>
            <w:proofErr w:type="spellEnd"/>
            <w:r w:rsidRPr="00A07506">
              <w:rPr>
                <w:rFonts w:eastAsia="MS Gothic"/>
                <w:szCs w:val="24"/>
              </w:rPr>
              <w:t xml:space="preserve"> </w:t>
            </w:r>
          </w:p>
        </w:tc>
        <w:tc>
          <w:tcPr>
            <w:tcW w:w="1203" w:type="dxa"/>
          </w:tcPr>
          <w:p w:rsidR="00A07506" w:rsidRPr="00A07506" w:rsidRDefault="00A07506" w:rsidP="00A07506">
            <w:pPr>
              <w:tabs>
                <w:tab w:val="clear" w:pos="284"/>
              </w:tabs>
              <w:rPr>
                <w:rFonts w:eastAsia="MS Gothic"/>
                <w:szCs w:val="24"/>
              </w:rPr>
            </w:pPr>
          </w:p>
        </w:tc>
        <w:tc>
          <w:tcPr>
            <w:tcW w:w="1203" w:type="dxa"/>
          </w:tcPr>
          <w:p w:rsidR="00A07506" w:rsidRPr="00A07506" w:rsidRDefault="00A07506" w:rsidP="00A07506">
            <w:pPr>
              <w:tabs>
                <w:tab w:val="clear" w:pos="284"/>
              </w:tabs>
              <w:rPr>
                <w:rFonts w:eastAsia="MS Gothic"/>
                <w:szCs w:val="24"/>
              </w:rPr>
            </w:pPr>
          </w:p>
        </w:tc>
        <w:tc>
          <w:tcPr>
            <w:tcW w:w="1203" w:type="dxa"/>
          </w:tcPr>
          <w:p w:rsidR="00A07506" w:rsidRPr="00A07506" w:rsidRDefault="00A07506" w:rsidP="00A07506">
            <w:pPr>
              <w:tabs>
                <w:tab w:val="clear" w:pos="284"/>
              </w:tabs>
              <w:rPr>
                <w:rFonts w:eastAsia="MS Gothic"/>
                <w:szCs w:val="24"/>
              </w:rPr>
            </w:pPr>
            <w:r w:rsidRPr="00A07506">
              <w:rPr>
                <w:rFonts w:eastAsia="MS Gothic"/>
                <w:szCs w:val="24"/>
              </w:rPr>
              <w:t>4</w:t>
            </w:r>
          </w:p>
        </w:tc>
        <w:tc>
          <w:tcPr>
            <w:tcW w:w="1204"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4</w:t>
            </w:r>
          </w:p>
        </w:tc>
      </w:tr>
      <w:tr w:rsidR="00A07506" w:rsidRPr="00A07506" w:rsidTr="002255CF">
        <w:tc>
          <w:tcPr>
            <w:tcW w:w="1203" w:type="dxa"/>
          </w:tcPr>
          <w:p w:rsidR="00A07506" w:rsidRPr="00A07506" w:rsidRDefault="00A07506" w:rsidP="00A07506">
            <w:pPr>
              <w:tabs>
                <w:tab w:val="clear" w:pos="284"/>
              </w:tabs>
              <w:rPr>
                <w:rFonts w:eastAsia="MS Gothic"/>
                <w:szCs w:val="24"/>
              </w:rPr>
            </w:pPr>
            <w:r w:rsidRPr="00A07506">
              <w:rPr>
                <w:rFonts w:eastAsia="MS Gothic"/>
                <w:szCs w:val="24"/>
              </w:rPr>
              <w:t xml:space="preserve">Qeqqata Kommunia </w:t>
            </w:r>
          </w:p>
        </w:tc>
        <w:tc>
          <w:tcPr>
            <w:tcW w:w="1203" w:type="dxa"/>
          </w:tcPr>
          <w:p w:rsidR="00A07506" w:rsidRPr="00A07506" w:rsidRDefault="00A07506" w:rsidP="00A07506">
            <w:pPr>
              <w:tabs>
                <w:tab w:val="clear" w:pos="284"/>
              </w:tabs>
              <w:rPr>
                <w:rFonts w:eastAsia="MS Gothic"/>
                <w:szCs w:val="24"/>
              </w:rPr>
            </w:pPr>
            <w:r w:rsidRPr="00A07506">
              <w:rPr>
                <w:rFonts w:eastAsia="MS Gothic"/>
                <w:szCs w:val="24"/>
              </w:rPr>
              <w:t>48</w:t>
            </w:r>
          </w:p>
        </w:tc>
        <w:tc>
          <w:tcPr>
            <w:tcW w:w="1203" w:type="dxa"/>
          </w:tcPr>
          <w:p w:rsidR="00A07506" w:rsidRPr="00A07506" w:rsidRDefault="00A07506" w:rsidP="00A07506">
            <w:pPr>
              <w:tabs>
                <w:tab w:val="clear" w:pos="284"/>
              </w:tabs>
              <w:rPr>
                <w:rFonts w:eastAsia="MS Gothic"/>
                <w:szCs w:val="24"/>
              </w:rPr>
            </w:pPr>
            <w:r w:rsidRPr="00A07506">
              <w:rPr>
                <w:rFonts w:eastAsia="MS Gothic"/>
                <w:szCs w:val="24"/>
              </w:rPr>
              <w:t>114</w:t>
            </w:r>
          </w:p>
        </w:tc>
        <w:tc>
          <w:tcPr>
            <w:tcW w:w="1203" w:type="dxa"/>
          </w:tcPr>
          <w:p w:rsidR="00A07506" w:rsidRPr="00A07506" w:rsidRDefault="00A07506" w:rsidP="00A07506">
            <w:pPr>
              <w:tabs>
                <w:tab w:val="clear" w:pos="284"/>
              </w:tabs>
              <w:rPr>
                <w:rFonts w:eastAsia="MS Gothic"/>
                <w:szCs w:val="24"/>
              </w:rPr>
            </w:pPr>
            <w:r w:rsidRPr="00A07506">
              <w:rPr>
                <w:rFonts w:eastAsia="MS Gothic"/>
                <w:szCs w:val="24"/>
              </w:rPr>
              <w:t>7</w:t>
            </w: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79</w:t>
            </w: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502</w:t>
            </w: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183</w:t>
            </w:r>
          </w:p>
        </w:tc>
        <w:tc>
          <w:tcPr>
            <w:tcW w:w="1204" w:type="dxa"/>
          </w:tcPr>
          <w:p w:rsidR="00A07506" w:rsidRPr="00A07506" w:rsidRDefault="00A07506" w:rsidP="00A07506">
            <w:pPr>
              <w:tabs>
                <w:tab w:val="clear" w:pos="284"/>
              </w:tabs>
              <w:rPr>
                <w:rFonts w:eastAsia="MS Gothic"/>
                <w:szCs w:val="24"/>
              </w:rPr>
            </w:pPr>
            <w:r w:rsidRPr="00A07506">
              <w:rPr>
                <w:rFonts w:eastAsia="MS Gothic"/>
                <w:szCs w:val="24"/>
              </w:rPr>
              <w:t>942</w:t>
            </w:r>
          </w:p>
        </w:tc>
      </w:tr>
    </w:tbl>
    <w:p w:rsidR="00A07506" w:rsidRPr="00A07506" w:rsidRDefault="00A07506" w:rsidP="00A07506">
      <w:pPr>
        <w:tabs>
          <w:tab w:val="clear" w:pos="284"/>
        </w:tabs>
        <w:rPr>
          <w:rFonts w:eastAsia="MS Gothic"/>
          <w:szCs w:val="24"/>
        </w:rPr>
      </w:pPr>
    </w:p>
    <w:p w:rsidR="00A07506" w:rsidRPr="00A07506" w:rsidRDefault="00A07506" w:rsidP="00A07506">
      <w:pPr>
        <w:tabs>
          <w:tab w:val="clear" w:pos="284"/>
        </w:tabs>
        <w:rPr>
          <w:rFonts w:eastAsia="MS Gothic"/>
          <w:szCs w:val="24"/>
        </w:rPr>
      </w:pPr>
      <w:r w:rsidRPr="00A07506">
        <w:rPr>
          <w:rFonts w:eastAsia="MS Gothic"/>
          <w:szCs w:val="24"/>
        </w:rPr>
        <w:t xml:space="preserve">I bekendtgørelsen står der, at fastsættelse af den følgende års takster, fastsættes på grundlag af kommunernes budgettal til vuggestuer, børnehave, integrerede institutioner, dagpleje/dagplejecentre og fritidshjem og det børneantal som den enkelte institutionstype er normeret til. </w:t>
      </w:r>
      <w:r w:rsidRPr="00A07506">
        <w:rPr>
          <w:rFonts w:eastAsia="MS Gothic"/>
          <w:szCs w:val="24"/>
        </w:rPr>
        <w:br/>
        <w:t xml:space="preserve">Taksterne fastsættes efter en skala, en minimums- og maksimumsgrænse, som Selvstyret har bekendtgjort, hvorfra der udregnes den økonomiske konsekvens hos den eller de betalingspligtige. </w:t>
      </w:r>
    </w:p>
    <w:p w:rsidR="00A07506" w:rsidRPr="00A07506" w:rsidRDefault="00A07506" w:rsidP="00A07506">
      <w:pPr>
        <w:tabs>
          <w:tab w:val="clear" w:pos="284"/>
        </w:tabs>
        <w:rPr>
          <w:rFonts w:eastAsia="MS Gothic"/>
          <w:szCs w:val="24"/>
        </w:rPr>
      </w:pPr>
    </w:p>
    <w:p w:rsidR="00A07506" w:rsidRPr="00A07506" w:rsidRDefault="00A07506" w:rsidP="00A07506">
      <w:pPr>
        <w:tabs>
          <w:tab w:val="clear" w:pos="284"/>
        </w:tabs>
        <w:rPr>
          <w:rFonts w:eastAsia="MS Gothic"/>
          <w:szCs w:val="24"/>
        </w:rPr>
      </w:pPr>
      <w:r w:rsidRPr="00A07506">
        <w:rPr>
          <w:rFonts w:eastAsia="MS Gothic"/>
          <w:szCs w:val="24"/>
        </w:rPr>
        <w:t>Forslag til daginstitutionstakster pr. måned fra 01.01.2020 til 31.12.2020</w:t>
      </w:r>
    </w:p>
    <w:p w:rsidR="00A07506" w:rsidRPr="00A07506" w:rsidRDefault="00A07506" w:rsidP="00A07506">
      <w:pPr>
        <w:tabs>
          <w:tab w:val="clear" w:pos="284"/>
        </w:tabs>
        <w:rPr>
          <w:rFonts w:eastAsia="MS Gothic"/>
          <w:szCs w:val="24"/>
        </w:rPr>
      </w:pPr>
      <w:r w:rsidRPr="00A07506">
        <w:rPr>
          <w:rFonts w:eastAsia="MS Gothic"/>
          <w:szCs w:val="24"/>
        </w:rPr>
        <w:t xml:space="preserve">Der betales i 11 måneder om året (januar er betalingsfri måned) </w:t>
      </w:r>
    </w:p>
    <w:p w:rsidR="00A07506" w:rsidRPr="00A07506" w:rsidRDefault="00A07506" w:rsidP="00A07506">
      <w:pPr>
        <w:tabs>
          <w:tab w:val="clear" w:pos="284"/>
        </w:tabs>
        <w:rPr>
          <w:rFonts w:eastAsia="MS Gothic"/>
          <w:szCs w:val="24"/>
        </w:rPr>
      </w:pPr>
    </w:p>
    <w:tbl>
      <w:tblPr>
        <w:tblStyle w:val="Tabel-Gitter1"/>
        <w:tblW w:w="0" w:type="auto"/>
        <w:tblLayout w:type="fixed"/>
        <w:tblLook w:val="04A0" w:firstRow="1" w:lastRow="0" w:firstColumn="1" w:lastColumn="0" w:noHBand="0" w:noVBand="1"/>
      </w:tblPr>
      <w:tblGrid>
        <w:gridCol w:w="2122"/>
        <w:gridCol w:w="1842"/>
        <w:gridCol w:w="1812"/>
        <w:gridCol w:w="1926"/>
        <w:gridCol w:w="1926"/>
      </w:tblGrid>
      <w:tr w:rsidR="00A07506" w:rsidRPr="00A07506" w:rsidTr="002255CF">
        <w:tc>
          <w:tcPr>
            <w:tcW w:w="2122" w:type="dxa"/>
          </w:tcPr>
          <w:p w:rsidR="00A07506" w:rsidRPr="00A07506" w:rsidRDefault="00A07506" w:rsidP="00A07506">
            <w:pPr>
              <w:tabs>
                <w:tab w:val="clear" w:pos="284"/>
              </w:tabs>
              <w:rPr>
                <w:rFonts w:eastAsia="MS Gothic"/>
                <w:szCs w:val="24"/>
              </w:rPr>
            </w:pPr>
            <w:r w:rsidRPr="00A07506">
              <w:rPr>
                <w:rFonts w:eastAsia="MS Gothic"/>
                <w:szCs w:val="24"/>
              </w:rPr>
              <w:t xml:space="preserve">Indkomst </w:t>
            </w:r>
          </w:p>
        </w:tc>
        <w:tc>
          <w:tcPr>
            <w:tcW w:w="1842" w:type="dxa"/>
          </w:tcPr>
          <w:p w:rsidR="00A07506" w:rsidRPr="00A07506" w:rsidRDefault="00A07506" w:rsidP="00A07506">
            <w:pPr>
              <w:tabs>
                <w:tab w:val="clear" w:pos="284"/>
              </w:tabs>
              <w:rPr>
                <w:rFonts w:eastAsia="MS Gothic"/>
                <w:szCs w:val="24"/>
              </w:rPr>
            </w:pPr>
            <w:r w:rsidRPr="00A07506">
              <w:rPr>
                <w:rFonts w:eastAsia="MS Gothic"/>
                <w:szCs w:val="24"/>
              </w:rPr>
              <w:t>Daginstitutions%</w:t>
            </w:r>
          </w:p>
        </w:tc>
        <w:tc>
          <w:tcPr>
            <w:tcW w:w="1812" w:type="dxa"/>
          </w:tcPr>
          <w:p w:rsidR="00A07506" w:rsidRPr="00A07506" w:rsidRDefault="00A07506" w:rsidP="00A07506">
            <w:pPr>
              <w:tabs>
                <w:tab w:val="clear" w:pos="284"/>
              </w:tabs>
              <w:rPr>
                <w:rFonts w:eastAsia="MS Gothic"/>
                <w:szCs w:val="24"/>
              </w:rPr>
            </w:pPr>
            <w:r w:rsidRPr="00A07506">
              <w:rPr>
                <w:rFonts w:eastAsia="MS Gothic"/>
                <w:szCs w:val="24"/>
              </w:rPr>
              <w:t>Fritidshjem%</w:t>
            </w:r>
          </w:p>
        </w:tc>
        <w:tc>
          <w:tcPr>
            <w:tcW w:w="1926" w:type="dxa"/>
          </w:tcPr>
          <w:p w:rsidR="00A07506" w:rsidRPr="00A07506" w:rsidRDefault="00A07506" w:rsidP="00A07506">
            <w:pPr>
              <w:tabs>
                <w:tab w:val="clear" w:pos="284"/>
              </w:tabs>
              <w:rPr>
                <w:rFonts w:eastAsia="MS Gothic"/>
                <w:szCs w:val="24"/>
              </w:rPr>
            </w:pPr>
            <w:r w:rsidRPr="00A07506">
              <w:rPr>
                <w:rFonts w:eastAsia="MS Gothic"/>
                <w:szCs w:val="24"/>
              </w:rPr>
              <w:t>Daginstitution</w:t>
            </w:r>
          </w:p>
        </w:tc>
        <w:tc>
          <w:tcPr>
            <w:tcW w:w="1926" w:type="dxa"/>
          </w:tcPr>
          <w:p w:rsidR="00A07506" w:rsidRPr="00A07506" w:rsidRDefault="00A07506" w:rsidP="00A07506">
            <w:pPr>
              <w:tabs>
                <w:tab w:val="clear" w:pos="284"/>
              </w:tabs>
              <w:rPr>
                <w:rFonts w:eastAsia="MS Gothic"/>
                <w:szCs w:val="24"/>
              </w:rPr>
            </w:pPr>
            <w:r w:rsidRPr="00A07506">
              <w:rPr>
                <w:rFonts w:eastAsia="MS Gothic"/>
                <w:szCs w:val="24"/>
              </w:rPr>
              <w:t xml:space="preserve">Fritidshjem </w:t>
            </w:r>
          </w:p>
        </w:tc>
      </w:tr>
      <w:tr w:rsidR="00A07506" w:rsidRPr="00A07506" w:rsidTr="002255CF">
        <w:tc>
          <w:tcPr>
            <w:tcW w:w="2122" w:type="dxa"/>
          </w:tcPr>
          <w:p w:rsidR="00A07506" w:rsidRPr="00A07506" w:rsidRDefault="00A07506" w:rsidP="00A07506">
            <w:pPr>
              <w:tabs>
                <w:tab w:val="clear" w:pos="284"/>
              </w:tabs>
              <w:rPr>
                <w:rFonts w:eastAsia="MS Gothic"/>
                <w:szCs w:val="24"/>
              </w:rPr>
            </w:pPr>
            <w:r w:rsidRPr="00A07506">
              <w:rPr>
                <w:rFonts w:eastAsia="MS Gothic"/>
                <w:szCs w:val="24"/>
              </w:rPr>
              <w:t>Indtil 99.999</w:t>
            </w:r>
          </w:p>
        </w:tc>
        <w:tc>
          <w:tcPr>
            <w:tcW w:w="1842" w:type="dxa"/>
          </w:tcPr>
          <w:p w:rsidR="00A07506" w:rsidRPr="00A07506" w:rsidRDefault="00A07506" w:rsidP="00A07506">
            <w:pPr>
              <w:tabs>
                <w:tab w:val="clear" w:pos="284"/>
              </w:tabs>
              <w:rPr>
                <w:rFonts w:eastAsia="MS Gothic"/>
                <w:szCs w:val="24"/>
              </w:rPr>
            </w:pPr>
            <w:r w:rsidRPr="00A07506">
              <w:rPr>
                <w:rFonts w:eastAsia="MS Gothic"/>
                <w:szCs w:val="24"/>
              </w:rPr>
              <w:t>0</w:t>
            </w:r>
          </w:p>
        </w:tc>
        <w:tc>
          <w:tcPr>
            <w:tcW w:w="1812" w:type="dxa"/>
          </w:tcPr>
          <w:p w:rsidR="00A07506" w:rsidRPr="00A07506" w:rsidRDefault="00A07506" w:rsidP="00A07506">
            <w:pPr>
              <w:tabs>
                <w:tab w:val="clear" w:pos="284"/>
              </w:tabs>
              <w:rPr>
                <w:rFonts w:eastAsia="MS Gothic"/>
                <w:szCs w:val="24"/>
              </w:rPr>
            </w:pPr>
            <w:r w:rsidRPr="00A07506">
              <w:rPr>
                <w:rFonts w:eastAsia="MS Gothic"/>
                <w:szCs w:val="24"/>
              </w:rPr>
              <w:t>0</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hAnsi="Arial" w:cs="Arial"/>
                <w:sz w:val="22"/>
                <w:szCs w:val="22"/>
              </w:rPr>
            </w:pPr>
            <w:r w:rsidRPr="00A07506">
              <w:rPr>
                <w:rFonts w:ascii="Arial" w:eastAsia="MS Gothic" w:hAnsi="Arial" w:cs="Arial"/>
                <w:sz w:val="22"/>
                <w:szCs w:val="22"/>
              </w:rPr>
              <w:t>0</w:t>
            </w:r>
          </w:p>
        </w:tc>
        <w:tc>
          <w:tcPr>
            <w:tcW w:w="1926" w:type="dxa"/>
            <w:tcBorders>
              <w:top w:val="single" w:sz="4" w:space="0" w:color="auto"/>
              <w:left w:val="nil"/>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0</w:t>
            </w:r>
          </w:p>
        </w:tc>
      </w:tr>
      <w:tr w:rsidR="00A07506" w:rsidRPr="00A07506" w:rsidTr="002255CF">
        <w:tc>
          <w:tcPr>
            <w:tcW w:w="2122" w:type="dxa"/>
          </w:tcPr>
          <w:p w:rsidR="00A07506" w:rsidRPr="00A07506" w:rsidRDefault="00A07506" w:rsidP="00A07506">
            <w:pPr>
              <w:tabs>
                <w:tab w:val="clear" w:pos="284"/>
              </w:tabs>
              <w:rPr>
                <w:rFonts w:eastAsia="MS Gothic"/>
                <w:szCs w:val="24"/>
              </w:rPr>
            </w:pPr>
            <w:r w:rsidRPr="00A07506">
              <w:rPr>
                <w:rFonts w:eastAsia="MS Gothic"/>
                <w:szCs w:val="24"/>
              </w:rPr>
              <w:t>100.000-149.999</w:t>
            </w:r>
          </w:p>
        </w:tc>
        <w:tc>
          <w:tcPr>
            <w:tcW w:w="1842" w:type="dxa"/>
          </w:tcPr>
          <w:p w:rsidR="00A07506" w:rsidRPr="00A07506" w:rsidRDefault="00A07506" w:rsidP="00A07506">
            <w:pPr>
              <w:tabs>
                <w:tab w:val="clear" w:pos="284"/>
              </w:tabs>
              <w:rPr>
                <w:rFonts w:eastAsia="MS Gothic"/>
                <w:szCs w:val="24"/>
              </w:rPr>
            </w:pPr>
            <w:r w:rsidRPr="00A07506">
              <w:rPr>
                <w:rFonts w:eastAsia="MS Gothic"/>
                <w:szCs w:val="24"/>
              </w:rPr>
              <w:t>5</w:t>
            </w:r>
          </w:p>
        </w:tc>
        <w:tc>
          <w:tcPr>
            <w:tcW w:w="1812" w:type="dxa"/>
          </w:tcPr>
          <w:p w:rsidR="00A07506" w:rsidRPr="00A07506" w:rsidRDefault="00A07506" w:rsidP="00A07506">
            <w:pPr>
              <w:tabs>
                <w:tab w:val="clear" w:pos="284"/>
              </w:tabs>
              <w:rPr>
                <w:rFonts w:eastAsia="MS Gothic"/>
                <w:szCs w:val="24"/>
              </w:rPr>
            </w:pPr>
            <w:r w:rsidRPr="00A07506">
              <w:rPr>
                <w:rFonts w:eastAsia="MS Gothic"/>
                <w:szCs w:val="24"/>
              </w:rPr>
              <w:t>5</w:t>
            </w:r>
          </w:p>
        </w:tc>
        <w:tc>
          <w:tcPr>
            <w:tcW w:w="1926" w:type="dxa"/>
            <w:tcBorders>
              <w:top w:val="nil"/>
              <w:left w:val="single" w:sz="4" w:space="0" w:color="auto"/>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355</w:t>
            </w:r>
          </w:p>
        </w:tc>
        <w:tc>
          <w:tcPr>
            <w:tcW w:w="1926" w:type="dxa"/>
            <w:tcBorders>
              <w:top w:val="nil"/>
              <w:left w:val="nil"/>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239</w:t>
            </w:r>
          </w:p>
        </w:tc>
      </w:tr>
      <w:tr w:rsidR="00A07506" w:rsidRPr="00A07506" w:rsidTr="002255CF">
        <w:tc>
          <w:tcPr>
            <w:tcW w:w="2122" w:type="dxa"/>
          </w:tcPr>
          <w:p w:rsidR="00A07506" w:rsidRPr="00A07506" w:rsidRDefault="00A07506" w:rsidP="00A07506">
            <w:pPr>
              <w:tabs>
                <w:tab w:val="clear" w:pos="284"/>
              </w:tabs>
              <w:rPr>
                <w:rFonts w:eastAsia="MS Gothic"/>
                <w:szCs w:val="24"/>
              </w:rPr>
            </w:pPr>
            <w:r w:rsidRPr="00A07506">
              <w:rPr>
                <w:rFonts w:eastAsia="MS Gothic"/>
                <w:szCs w:val="24"/>
              </w:rPr>
              <w:t>150.000-174.999</w:t>
            </w:r>
          </w:p>
        </w:tc>
        <w:tc>
          <w:tcPr>
            <w:tcW w:w="1842" w:type="dxa"/>
          </w:tcPr>
          <w:p w:rsidR="00A07506" w:rsidRPr="00A07506" w:rsidRDefault="00A07506" w:rsidP="00A07506">
            <w:pPr>
              <w:tabs>
                <w:tab w:val="clear" w:pos="284"/>
              </w:tabs>
              <w:rPr>
                <w:rFonts w:eastAsia="MS Gothic"/>
                <w:szCs w:val="24"/>
              </w:rPr>
            </w:pPr>
            <w:r w:rsidRPr="00A07506">
              <w:rPr>
                <w:rFonts w:eastAsia="MS Gothic"/>
                <w:szCs w:val="24"/>
              </w:rPr>
              <w:t>6</w:t>
            </w:r>
          </w:p>
        </w:tc>
        <w:tc>
          <w:tcPr>
            <w:tcW w:w="1812" w:type="dxa"/>
          </w:tcPr>
          <w:p w:rsidR="00A07506" w:rsidRPr="00A07506" w:rsidRDefault="00A07506" w:rsidP="00A07506">
            <w:pPr>
              <w:tabs>
                <w:tab w:val="clear" w:pos="284"/>
              </w:tabs>
              <w:rPr>
                <w:rFonts w:eastAsia="MS Gothic"/>
                <w:szCs w:val="24"/>
              </w:rPr>
            </w:pPr>
            <w:r w:rsidRPr="00A07506">
              <w:rPr>
                <w:rFonts w:eastAsia="MS Gothic"/>
                <w:szCs w:val="24"/>
              </w:rPr>
              <w:t>6</w:t>
            </w:r>
          </w:p>
        </w:tc>
        <w:tc>
          <w:tcPr>
            <w:tcW w:w="1926" w:type="dxa"/>
            <w:tcBorders>
              <w:top w:val="nil"/>
              <w:left w:val="single" w:sz="4" w:space="0" w:color="auto"/>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426</w:t>
            </w:r>
          </w:p>
        </w:tc>
        <w:tc>
          <w:tcPr>
            <w:tcW w:w="1926" w:type="dxa"/>
            <w:tcBorders>
              <w:top w:val="nil"/>
              <w:left w:val="nil"/>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286</w:t>
            </w:r>
          </w:p>
        </w:tc>
      </w:tr>
      <w:tr w:rsidR="00A07506" w:rsidRPr="00A07506" w:rsidTr="002255CF">
        <w:tc>
          <w:tcPr>
            <w:tcW w:w="2122" w:type="dxa"/>
          </w:tcPr>
          <w:p w:rsidR="00A07506" w:rsidRPr="00A07506" w:rsidRDefault="00A07506" w:rsidP="00A07506">
            <w:pPr>
              <w:tabs>
                <w:tab w:val="clear" w:pos="284"/>
              </w:tabs>
              <w:rPr>
                <w:rFonts w:eastAsia="MS Gothic"/>
                <w:szCs w:val="24"/>
              </w:rPr>
            </w:pPr>
            <w:r w:rsidRPr="00A07506">
              <w:rPr>
                <w:rFonts w:eastAsia="MS Gothic"/>
                <w:szCs w:val="24"/>
              </w:rPr>
              <w:t>175.000-199.999</w:t>
            </w:r>
          </w:p>
        </w:tc>
        <w:tc>
          <w:tcPr>
            <w:tcW w:w="1842" w:type="dxa"/>
          </w:tcPr>
          <w:p w:rsidR="00A07506" w:rsidRPr="00A07506" w:rsidRDefault="00A07506" w:rsidP="00A07506">
            <w:pPr>
              <w:tabs>
                <w:tab w:val="clear" w:pos="284"/>
              </w:tabs>
              <w:rPr>
                <w:rFonts w:eastAsia="MS Gothic"/>
                <w:szCs w:val="24"/>
              </w:rPr>
            </w:pPr>
            <w:r w:rsidRPr="00A07506">
              <w:rPr>
                <w:rFonts w:eastAsia="MS Gothic"/>
                <w:szCs w:val="24"/>
              </w:rPr>
              <w:t>7</w:t>
            </w:r>
          </w:p>
        </w:tc>
        <w:tc>
          <w:tcPr>
            <w:tcW w:w="1812" w:type="dxa"/>
          </w:tcPr>
          <w:p w:rsidR="00A07506" w:rsidRPr="00A07506" w:rsidRDefault="00A07506" w:rsidP="00A07506">
            <w:pPr>
              <w:tabs>
                <w:tab w:val="clear" w:pos="284"/>
              </w:tabs>
              <w:rPr>
                <w:rFonts w:eastAsia="MS Gothic"/>
                <w:szCs w:val="24"/>
              </w:rPr>
            </w:pPr>
            <w:r w:rsidRPr="00A07506">
              <w:rPr>
                <w:rFonts w:eastAsia="MS Gothic"/>
                <w:szCs w:val="24"/>
              </w:rPr>
              <w:t>7</w:t>
            </w:r>
          </w:p>
        </w:tc>
        <w:tc>
          <w:tcPr>
            <w:tcW w:w="1926" w:type="dxa"/>
            <w:tcBorders>
              <w:top w:val="nil"/>
              <w:left w:val="single" w:sz="4" w:space="0" w:color="auto"/>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497</w:t>
            </w:r>
          </w:p>
        </w:tc>
        <w:tc>
          <w:tcPr>
            <w:tcW w:w="1926" w:type="dxa"/>
            <w:tcBorders>
              <w:top w:val="nil"/>
              <w:left w:val="nil"/>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334</w:t>
            </w:r>
          </w:p>
        </w:tc>
      </w:tr>
      <w:tr w:rsidR="00A07506" w:rsidRPr="00A07506" w:rsidTr="002255CF">
        <w:tc>
          <w:tcPr>
            <w:tcW w:w="2122" w:type="dxa"/>
          </w:tcPr>
          <w:p w:rsidR="00A07506" w:rsidRPr="00A07506" w:rsidRDefault="00A07506" w:rsidP="00A07506">
            <w:pPr>
              <w:tabs>
                <w:tab w:val="clear" w:pos="284"/>
              </w:tabs>
              <w:rPr>
                <w:rFonts w:eastAsia="MS Gothic"/>
                <w:szCs w:val="24"/>
              </w:rPr>
            </w:pPr>
            <w:r w:rsidRPr="00A07506">
              <w:rPr>
                <w:rFonts w:eastAsia="MS Gothic"/>
                <w:szCs w:val="24"/>
              </w:rPr>
              <w:lastRenderedPageBreak/>
              <w:t>200.000-224.999</w:t>
            </w:r>
          </w:p>
        </w:tc>
        <w:tc>
          <w:tcPr>
            <w:tcW w:w="1842" w:type="dxa"/>
          </w:tcPr>
          <w:p w:rsidR="00A07506" w:rsidRPr="00A07506" w:rsidRDefault="00A07506" w:rsidP="00A07506">
            <w:pPr>
              <w:tabs>
                <w:tab w:val="clear" w:pos="284"/>
              </w:tabs>
              <w:rPr>
                <w:rFonts w:eastAsia="MS Gothic"/>
                <w:szCs w:val="24"/>
              </w:rPr>
            </w:pPr>
            <w:r w:rsidRPr="00A07506">
              <w:rPr>
                <w:rFonts w:eastAsia="MS Gothic"/>
                <w:szCs w:val="24"/>
              </w:rPr>
              <w:t>8</w:t>
            </w:r>
          </w:p>
        </w:tc>
        <w:tc>
          <w:tcPr>
            <w:tcW w:w="1812" w:type="dxa"/>
          </w:tcPr>
          <w:p w:rsidR="00A07506" w:rsidRPr="00A07506" w:rsidRDefault="00A07506" w:rsidP="00A07506">
            <w:pPr>
              <w:tabs>
                <w:tab w:val="clear" w:pos="284"/>
              </w:tabs>
              <w:rPr>
                <w:rFonts w:eastAsia="MS Gothic"/>
                <w:szCs w:val="24"/>
              </w:rPr>
            </w:pPr>
            <w:r w:rsidRPr="00A07506">
              <w:rPr>
                <w:rFonts w:eastAsia="MS Gothic"/>
                <w:szCs w:val="24"/>
              </w:rPr>
              <w:t>8</w:t>
            </w:r>
          </w:p>
        </w:tc>
        <w:tc>
          <w:tcPr>
            <w:tcW w:w="1926" w:type="dxa"/>
            <w:tcBorders>
              <w:top w:val="nil"/>
              <w:left w:val="single" w:sz="4" w:space="0" w:color="auto"/>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567</w:t>
            </w:r>
          </w:p>
        </w:tc>
        <w:tc>
          <w:tcPr>
            <w:tcW w:w="1926" w:type="dxa"/>
            <w:tcBorders>
              <w:top w:val="nil"/>
              <w:left w:val="nil"/>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382</w:t>
            </w:r>
          </w:p>
        </w:tc>
      </w:tr>
      <w:tr w:rsidR="00A07506" w:rsidRPr="00A07506" w:rsidTr="002255CF">
        <w:tc>
          <w:tcPr>
            <w:tcW w:w="2122" w:type="dxa"/>
          </w:tcPr>
          <w:p w:rsidR="00A07506" w:rsidRPr="00A07506" w:rsidRDefault="00A07506" w:rsidP="00A07506">
            <w:pPr>
              <w:tabs>
                <w:tab w:val="clear" w:pos="284"/>
              </w:tabs>
              <w:rPr>
                <w:rFonts w:eastAsia="MS Gothic"/>
                <w:szCs w:val="24"/>
              </w:rPr>
            </w:pPr>
            <w:r w:rsidRPr="00A07506">
              <w:rPr>
                <w:rFonts w:eastAsia="MS Gothic"/>
                <w:szCs w:val="24"/>
              </w:rPr>
              <w:t>225000-249.999</w:t>
            </w:r>
          </w:p>
        </w:tc>
        <w:tc>
          <w:tcPr>
            <w:tcW w:w="1842" w:type="dxa"/>
          </w:tcPr>
          <w:p w:rsidR="00A07506" w:rsidRPr="00A07506" w:rsidRDefault="00A07506" w:rsidP="00A07506">
            <w:pPr>
              <w:tabs>
                <w:tab w:val="clear" w:pos="284"/>
              </w:tabs>
              <w:rPr>
                <w:rFonts w:eastAsia="MS Gothic"/>
                <w:szCs w:val="24"/>
              </w:rPr>
            </w:pPr>
            <w:r w:rsidRPr="00A07506">
              <w:rPr>
                <w:rFonts w:eastAsia="MS Gothic"/>
                <w:szCs w:val="24"/>
              </w:rPr>
              <w:t>10</w:t>
            </w:r>
          </w:p>
        </w:tc>
        <w:tc>
          <w:tcPr>
            <w:tcW w:w="1812" w:type="dxa"/>
          </w:tcPr>
          <w:p w:rsidR="00A07506" w:rsidRPr="00A07506" w:rsidRDefault="00A07506" w:rsidP="00A07506">
            <w:pPr>
              <w:tabs>
                <w:tab w:val="clear" w:pos="284"/>
              </w:tabs>
              <w:rPr>
                <w:rFonts w:eastAsia="MS Gothic"/>
                <w:szCs w:val="24"/>
              </w:rPr>
            </w:pPr>
            <w:r w:rsidRPr="00A07506">
              <w:rPr>
                <w:rFonts w:eastAsia="MS Gothic"/>
                <w:szCs w:val="24"/>
              </w:rPr>
              <w:t>10</w:t>
            </w:r>
          </w:p>
        </w:tc>
        <w:tc>
          <w:tcPr>
            <w:tcW w:w="1926" w:type="dxa"/>
            <w:tcBorders>
              <w:top w:val="nil"/>
              <w:left w:val="single" w:sz="4" w:space="0" w:color="auto"/>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709</w:t>
            </w:r>
          </w:p>
        </w:tc>
        <w:tc>
          <w:tcPr>
            <w:tcW w:w="1926" w:type="dxa"/>
            <w:tcBorders>
              <w:top w:val="nil"/>
              <w:left w:val="nil"/>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477</w:t>
            </w:r>
          </w:p>
        </w:tc>
      </w:tr>
      <w:tr w:rsidR="00A07506" w:rsidRPr="00A07506" w:rsidTr="002255CF">
        <w:tc>
          <w:tcPr>
            <w:tcW w:w="2122" w:type="dxa"/>
          </w:tcPr>
          <w:p w:rsidR="00A07506" w:rsidRPr="00A07506" w:rsidRDefault="00A07506" w:rsidP="00A07506">
            <w:pPr>
              <w:tabs>
                <w:tab w:val="clear" w:pos="284"/>
              </w:tabs>
              <w:rPr>
                <w:rFonts w:eastAsia="MS Gothic"/>
                <w:szCs w:val="24"/>
              </w:rPr>
            </w:pPr>
            <w:r w:rsidRPr="00A07506">
              <w:rPr>
                <w:rFonts w:eastAsia="MS Gothic"/>
                <w:szCs w:val="24"/>
              </w:rPr>
              <w:t>250.00-274.999</w:t>
            </w:r>
          </w:p>
        </w:tc>
        <w:tc>
          <w:tcPr>
            <w:tcW w:w="1842" w:type="dxa"/>
          </w:tcPr>
          <w:p w:rsidR="00A07506" w:rsidRPr="00A07506" w:rsidRDefault="00A07506" w:rsidP="00A07506">
            <w:pPr>
              <w:tabs>
                <w:tab w:val="clear" w:pos="284"/>
              </w:tabs>
              <w:rPr>
                <w:rFonts w:eastAsia="MS Gothic"/>
                <w:szCs w:val="24"/>
              </w:rPr>
            </w:pPr>
            <w:r w:rsidRPr="00A07506">
              <w:rPr>
                <w:rFonts w:eastAsia="MS Gothic"/>
                <w:szCs w:val="24"/>
              </w:rPr>
              <w:t>12</w:t>
            </w:r>
          </w:p>
        </w:tc>
        <w:tc>
          <w:tcPr>
            <w:tcW w:w="1812" w:type="dxa"/>
          </w:tcPr>
          <w:p w:rsidR="00A07506" w:rsidRPr="00A07506" w:rsidRDefault="00A07506" w:rsidP="00A07506">
            <w:pPr>
              <w:tabs>
                <w:tab w:val="clear" w:pos="284"/>
              </w:tabs>
              <w:rPr>
                <w:rFonts w:eastAsia="MS Gothic"/>
                <w:szCs w:val="24"/>
              </w:rPr>
            </w:pPr>
            <w:r w:rsidRPr="00A07506">
              <w:rPr>
                <w:rFonts w:eastAsia="MS Gothic"/>
                <w:szCs w:val="24"/>
              </w:rPr>
              <w:t>15</w:t>
            </w:r>
          </w:p>
        </w:tc>
        <w:tc>
          <w:tcPr>
            <w:tcW w:w="1926" w:type="dxa"/>
            <w:tcBorders>
              <w:top w:val="nil"/>
              <w:left w:val="single" w:sz="4" w:space="0" w:color="auto"/>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851</w:t>
            </w:r>
          </w:p>
        </w:tc>
        <w:tc>
          <w:tcPr>
            <w:tcW w:w="1926" w:type="dxa"/>
            <w:tcBorders>
              <w:top w:val="nil"/>
              <w:left w:val="nil"/>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716</w:t>
            </w:r>
          </w:p>
        </w:tc>
      </w:tr>
      <w:tr w:rsidR="00A07506" w:rsidRPr="00A07506" w:rsidTr="002255CF">
        <w:tc>
          <w:tcPr>
            <w:tcW w:w="2122" w:type="dxa"/>
          </w:tcPr>
          <w:p w:rsidR="00A07506" w:rsidRPr="00A07506" w:rsidRDefault="00A07506" w:rsidP="00A07506">
            <w:pPr>
              <w:tabs>
                <w:tab w:val="clear" w:pos="284"/>
              </w:tabs>
              <w:rPr>
                <w:rFonts w:eastAsia="MS Gothic"/>
                <w:szCs w:val="24"/>
              </w:rPr>
            </w:pPr>
            <w:r w:rsidRPr="00A07506">
              <w:rPr>
                <w:rFonts w:eastAsia="MS Gothic"/>
                <w:szCs w:val="24"/>
              </w:rPr>
              <w:t>275.000-299.999</w:t>
            </w:r>
          </w:p>
        </w:tc>
        <w:tc>
          <w:tcPr>
            <w:tcW w:w="1842" w:type="dxa"/>
          </w:tcPr>
          <w:p w:rsidR="00A07506" w:rsidRPr="00A07506" w:rsidRDefault="00A07506" w:rsidP="00A07506">
            <w:pPr>
              <w:tabs>
                <w:tab w:val="clear" w:pos="284"/>
              </w:tabs>
              <w:rPr>
                <w:rFonts w:eastAsia="MS Gothic"/>
                <w:szCs w:val="24"/>
              </w:rPr>
            </w:pPr>
            <w:r w:rsidRPr="00A07506">
              <w:rPr>
                <w:rFonts w:eastAsia="MS Gothic"/>
                <w:szCs w:val="24"/>
              </w:rPr>
              <w:t>13</w:t>
            </w:r>
          </w:p>
        </w:tc>
        <w:tc>
          <w:tcPr>
            <w:tcW w:w="1812" w:type="dxa"/>
          </w:tcPr>
          <w:p w:rsidR="00A07506" w:rsidRPr="00A07506" w:rsidRDefault="00A07506" w:rsidP="00A07506">
            <w:pPr>
              <w:tabs>
                <w:tab w:val="clear" w:pos="284"/>
              </w:tabs>
              <w:rPr>
                <w:rFonts w:eastAsia="MS Gothic"/>
                <w:szCs w:val="24"/>
              </w:rPr>
            </w:pPr>
            <w:r w:rsidRPr="00A07506">
              <w:rPr>
                <w:rFonts w:eastAsia="MS Gothic"/>
                <w:szCs w:val="24"/>
              </w:rPr>
              <w:t>20</w:t>
            </w:r>
          </w:p>
        </w:tc>
        <w:tc>
          <w:tcPr>
            <w:tcW w:w="1926" w:type="dxa"/>
            <w:tcBorders>
              <w:top w:val="nil"/>
              <w:left w:val="single" w:sz="4" w:space="0" w:color="auto"/>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922</w:t>
            </w:r>
          </w:p>
        </w:tc>
        <w:tc>
          <w:tcPr>
            <w:tcW w:w="1926" w:type="dxa"/>
            <w:tcBorders>
              <w:top w:val="nil"/>
              <w:left w:val="nil"/>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955</w:t>
            </w:r>
          </w:p>
        </w:tc>
      </w:tr>
      <w:tr w:rsidR="00A07506" w:rsidRPr="00A07506" w:rsidTr="002255CF">
        <w:tc>
          <w:tcPr>
            <w:tcW w:w="2122" w:type="dxa"/>
          </w:tcPr>
          <w:p w:rsidR="00A07506" w:rsidRPr="00A07506" w:rsidRDefault="00A07506" w:rsidP="00A07506">
            <w:pPr>
              <w:tabs>
                <w:tab w:val="clear" w:pos="284"/>
              </w:tabs>
              <w:rPr>
                <w:rFonts w:eastAsia="MS Gothic"/>
                <w:szCs w:val="24"/>
              </w:rPr>
            </w:pPr>
            <w:r w:rsidRPr="00A07506">
              <w:rPr>
                <w:rFonts w:eastAsia="MS Gothic"/>
                <w:szCs w:val="24"/>
              </w:rPr>
              <w:t>300.000-324.999</w:t>
            </w:r>
          </w:p>
        </w:tc>
        <w:tc>
          <w:tcPr>
            <w:tcW w:w="1842" w:type="dxa"/>
          </w:tcPr>
          <w:p w:rsidR="00A07506" w:rsidRPr="00A07506" w:rsidRDefault="00A07506" w:rsidP="00A07506">
            <w:pPr>
              <w:tabs>
                <w:tab w:val="clear" w:pos="284"/>
              </w:tabs>
              <w:rPr>
                <w:rFonts w:eastAsia="MS Gothic"/>
                <w:szCs w:val="24"/>
              </w:rPr>
            </w:pPr>
            <w:r w:rsidRPr="00A07506">
              <w:rPr>
                <w:rFonts w:eastAsia="MS Gothic"/>
                <w:szCs w:val="24"/>
              </w:rPr>
              <w:t>14</w:t>
            </w:r>
          </w:p>
        </w:tc>
        <w:tc>
          <w:tcPr>
            <w:tcW w:w="1812" w:type="dxa"/>
          </w:tcPr>
          <w:p w:rsidR="00A07506" w:rsidRPr="00A07506" w:rsidRDefault="00A07506" w:rsidP="00A07506">
            <w:pPr>
              <w:tabs>
                <w:tab w:val="clear" w:pos="284"/>
              </w:tabs>
              <w:rPr>
                <w:rFonts w:eastAsia="MS Gothic"/>
                <w:szCs w:val="24"/>
              </w:rPr>
            </w:pPr>
            <w:r w:rsidRPr="00A07506">
              <w:rPr>
                <w:rFonts w:eastAsia="MS Gothic"/>
                <w:szCs w:val="24"/>
              </w:rPr>
              <w:t>22</w:t>
            </w:r>
          </w:p>
        </w:tc>
        <w:tc>
          <w:tcPr>
            <w:tcW w:w="1926" w:type="dxa"/>
            <w:tcBorders>
              <w:top w:val="nil"/>
              <w:left w:val="single" w:sz="4" w:space="0" w:color="auto"/>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993</w:t>
            </w:r>
          </w:p>
        </w:tc>
        <w:tc>
          <w:tcPr>
            <w:tcW w:w="1926" w:type="dxa"/>
            <w:tcBorders>
              <w:top w:val="nil"/>
              <w:left w:val="nil"/>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1.000</w:t>
            </w:r>
          </w:p>
        </w:tc>
      </w:tr>
      <w:tr w:rsidR="00A07506" w:rsidRPr="00A07506" w:rsidTr="002255CF">
        <w:tc>
          <w:tcPr>
            <w:tcW w:w="2122" w:type="dxa"/>
          </w:tcPr>
          <w:p w:rsidR="00A07506" w:rsidRPr="00A07506" w:rsidRDefault="00A07506" w:rsidP="00A07506">
            <w:pPr>
              <w:tabs>
                <w:tab w:val="clear" w:pos="284"/>
              </w:tabs>
              <w:rPr>
                <w:rFonts w:eastAsia="MS Gothic"/>
                <w:szCs w:val="24"/>
              </w:rPr>
            </w:pPr>
            <w:r w:rsidRPr="00A07506">
              <w:rPr>
                <w:rFonts w:eastAsia="MS Gothic"/>
                <w:szCs w:val="24"/>
              </w:rPr>
              <w:t>325.000 og derover</w:t>
            </w:r>
          </w:p>
        </w:tc>
        <w:tc>
          <w:tcPr>
            <w:tcW w:w="1842" w:type="dxa"/>
          </w:tcPr>
          <w:p w:rsidR="00A07506" w:rsidRPr="00A07506" w:rsidRDefault="00A07506" w:rsidP="00A07506">
            <w:pPr>
              <w:tabs>
                <w:tab w:val="clear" w:pos="284"/>
              </w:tabs>
              <w:rPr>
                <w:rFonts w:eastAsia="MS Gothic"/>
                <w:szCs w:val="24"/>
              </w:rPr>
            </w:pPr>
            <w:r w:rsidRPr="00A07506">
              <w:rPr>
                <w:rFonts w:eastAsia="MS Gothic"/>
                <w:szCs w:val="24"/>
              </w:rPr>
              <w:t>16</w:t>
            </w:r>
          </w:p>
        </w:tc>
        <w:tc>
          <w:tcPr>
            <w:tcW w:w="1812" w:type="dxa"/>
          </w:tcPr>
          <w:p w:rsidR="00A07506" w:rsidRPr="00A07506" w:rsidRDefault="00A07506" w:rsidP="00A07506">
            <w:pPr>
              <w:tabs>
                <w:tab w:val="clear" w:pos="284"/>
              </w:tabs>
              <w:rPr>
                <w:rFonts w:eastAsia="MS Gothic"/>
                <w:szCs w:val="24"/>
              </w:rPr>
            </w:pPr>
            <w:r w:rsidRPr="00A07506">
              <w:rPr>
                <w:rFonts w:eastAsia="MS Gothic"/>
                <w:szCs w:val="24"/>
              </w:rPr>
              <w:t>24</w:t>
            </w:r>
          </w:p>
        </w:tc>
        <w:tc>
          <w:tcPr>
            <w:tcW w:w="1926" w:type="dxa"/>
            <w:tcBorders>
              <w:top w:val="nil"/>
              <w:left w:val="single" w:sz="4" w:space="0" w:color="auto"/>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1.000</w:t>
            </w:r>
          </w:p>
        </w:tc>
        <w:tc>
          <w:tcPr>
            <w:tcW w:w="1926" w:type="dxa"/>
            <w:tcBorders>
              <w:top w:val="nil"/>
              <w:left w:val="nil"/>
              <w:bottom w:val="single" w:sz="4" w:space="0" w:color="auto"/>
              <w:right w:val="single" w:sz="4" w:space="0" w:color="auto"/>
            </w:tcBorders>
            <w:shd w:val="clear" w:color="auto" w:fill="auto"/>
            <w:vAlign w:val="bottom"/>
          </w:tcPr>
          <w:p w:rsidR="00A07506" w:rsidRPr="00A07506" w:rsidRDefault="00A07506" w:rsidP="00A07506">
            <w:pPr>
              <w:tabs>
                <w:tab w:val="clear" w:pos="284"/>
              </w:tabs>
              <w:jc w:val="center"/>
              <w:rPr>
                <w:rFonts w:ascii="Arial" w:eastAsia="MS Gothic" w:hAnsi="Arial" w:cs="Arial"/>
                <w:sz w:val="22"/>
                <w:szCs w:val="22"/>
              </w:rPr>
            </w:pPr>
            <w:r w:rsidRPr="00A07506">
              <w:rPr>
                <w:rFonts w:ascii="Arial" w:eastAsia="MS Gothic" w:hAnsi="Arial" w:cs="Arial"/>
                <w:sz w:val="22"/>
                <w:szCs w:val="22"/>
              </w:rPr>
              <w:t>1.000</w:t>
            </w:r>
          </w:p>
        </w:tc>
      </w:tr>
    </w:tbl>
    <w:p w:rsidR="00A07506" w:rsidRPr="00A07506" w:rsidRDefault="00A07506" w:rsidP="00A07506">
      <w:pPr>
        <w:tabs>
          <w:tab w:val="clear" w:pos="284"/>
        </w:tabs>
        <w:rPr>
          <w:rFonts w:eastAsia="MS Gothic"/>
          <w:szCs w:val="24"/>
        </w:rPr>
      </w:pPr>
    </w:p>
    <w:p w:rsidR="00A07506" w:rsidRPr="00A07506" w:rsidRDefault="00A07506" w:rsidP="00A07506">
      <w:pPr>
        <w:tabs>
          <w:tab w:val="clear" w:pos="284"/>
        </w:tabs>
        <w:rPr>
          <w:rFonts w:eastAsia="MS Gothic"/>
          <w:szCs w:val="24"/>
          <w:u w:val="single"/>
        </w:rPr>
      </w:pPr>
      <w:r w:rsidRPr="00A07506">
        <w:rPr>
          <w:rFonts w:eastAsia="MS Gothic"/>
          <w:szCs w:val="24"/>
        </w:rPr>
        <w:t>Der er uændret på resten af taksterne på Uddannelsesområdet.</w:t>
      </w:r>
      <w:r w:rsidRPr="00A07506">
        <w:rPr>
          <w:rFonts w:eastAsia="MS Gothic"/>
          <w:szCs w:val="24"/>
        </w:rPr>
        <w:br/>
      </w:r>
    </w:p>
    <w:p w:rsidR="00A07506" w:rsidRPr="00A07506" w:rsidRDefault="00A07506" w:rsidP="00A07506">
      <w:pPr>
        <w:tabs>
          <w:tab w:val="clear" w:pos="284"/>
        </w:tabs>
        <w:rPr>
          <w:rFonts w:eastAsia="MS Gothic"/>
          <w:szCs w:val="24"/>
        </w:rPr>
      </w:pPr>
      <w:r w:rsidRPr="00A07506">
        <w:rPr>
          <w:rFonts w:eastAsia="MS Gothic"/>
          <w:b/>
          <w:szCs w:val="24"/>
          <w:u w:val="single"/>
        </w:rPr>
        <w:t>Bæredygtige konsekvenser</w:t>
      </w:r>
      <w:r w:rsidRPr="00A07506">
        <w:rPr>
          <w:rFonts w:eastAsia="MS Gothic"/>
          <w:b/>
          <w:szCs w:val="24"/>
          <w:u w:val="single"/>
        </w:rPr>
        <w:br/>
      </w:r>
      <w:r w:rsidRPr="00A07506">
        <w:rPr>
          <w:rFonts w:eastAsia="MS Gothic"/>
          <w:szCs w:val="24"/>
        </w:rPr>
        <w:t xml:space="preserve">Der er ingen bæredygtighedskonsekvenser. </w:t>
      </w:r>
    </w:p>
    <w:p w:rsidR="00A07506" w:rsidRPr="00A07506" w:rsidRDefault="00A07506" w:rsidP="00A07506">
      <w:pPr>
        <w:tabs>
          <w:tab w:val="clear" w:pos="284"/>
        </w:tabs>
        <w:rPr>
          <w:rFonts w:eastAsia="MS Gothic"/>
          <w:szCs w:val="24"/>
          <w:u w:val="single"/>
        </w:rPr>
      </w:pPr>
    </w:p>
    <w:p w:rsidR="00A07506" w:rsidRPr="00A07506" w:rsidRDefault="00A07506" w:rsidP="00A07506">
      <w:pPr>
        <w:tabs>
          <w:tab w:val="clear" w:pos="284"/>
        </w:tabs>
        <w:rPr>
          <w:rFonts w:eastAsia="MS Gothic"/>
          <w:b/>
          <w:szCs w:val="24"/>
          <w:u w:val="single"/>
        </w:rPr>
      </w:pPr>
      <w:r w:rsidRPr="00A07506">
        <w:rPr>
          <w:rFonts w:eastAsia="MS Gothic"/>
          <w:b/>
          <w:szCs w:val="24"/>
          <w:u w:val="single"/>
        </w:rPr>
        <w:t xml:space="preserve">Økonomiske og administrative konsekvenser </w:t>
      </w:r>
    </w:p>
    <w:p w:rsidR="00A07506" w:rsidRPr="00A07506" w:rsidRDefault="00A07506" w:rsidP="00A07506">
      <w:pPr>
        <w:tabs>
          <w:tab w:val="clear" w:pos="284"/>
        </w:tabs>
        <w:rPr>
          <w:rFonts w:eastAsia="MS Gothic"/>
          <w:szCs w:val="24"/>
        </w:rPr>
      </w:pPr>
      <w:r w:rsidRPr="00A07506">
        <w:rPr>
          <w:rFonts w:eastAsia="MS Gothic"/>
          <w:szCs w:val="24"/>
        </w:rPr>
        <w:t>Betaling for ophold i en daginstitution til børn før skolealderen, fastsættes på baggrund af den eller de betalingspligtiges indkomst for det senest afsluttede indkomstår.</w:t>
      </w:r>
      <w:r w:rsidRPr="00A07506">
        <w:rPr>
          <w:rFonts w:eastAsia="MS Gothic"/>
          <w:szCs w:val="24"/>
        </w:rPr>
        <w:br/>
        <w:t xml:space="preserve">For året 2019 for indkomsten fra 300.000 – 324.999 er indbetalingen på 1.000 kr. </w:t>
      </w:r>
      <w:r w:rsidRPr="00A07506">
        <w:rPr>
          <w:rFonts w:eastAsia="MS Gothic"/>
          <w:szCs w:val="24"/>
        </w:rPr>
        <w:br/>
      </w:r>
    </w:p>
    <w:p w:rsidR="00A07506" w:rsidRPr="00A07506" w:rsidRDefault="00A07506" w:rsidP="00A07506">
      <w:pPr>
        <w:tabs>
          <w:tab w:val="clear" w:pos="284"/>
        </w:tabs>
        <w:rPr>
          <w:rFonts w:eastAsia="MS Gothic"/>
          <w:b/>
          <w:szCs w:val="24"/>
          <w:u w:val="single"/>
        </w:rPr>
      </w:pPr>
      <w:r w:rsidRPr="00A07506">
        <w:rPr>
          <w:rFonts w:eastAsia="MS Gothic"/>
          <w:b/>
          <w:szCs w:val="24"/>
          <w:u w:val="single"/>
        </w:rPr>
        <w:t>Administrationens vurdering</w:t>
      </w:r>
    </w:p>
    <w:p w:rsidR="00A07506" w:rsidRPr="00A07506" w:rsidRDefault="00A07506" w:rsidP="00A07506">
      <w:pPr>
        <w:tabs>
          <w:tab w:val="clear" w:pos="284"/>
        </w:tabs>
        <w:rPr>
          <w:rFonts w:eastAsia="MS Gothic"/>
          <w:szCs w:val="24"/>
        </w:rPr>
      </w:pPr>
      <w:r w:rsidRPr="00A07506">
        <w:rPr>
          <w:rFonts w:eastAsia="MS Gothic"/>
          <w:szCs w:val="24"/>
        </w:rPr>
        <w:t xml:space="preserve">Administrationen vurderer, at takstbetalingen for 2020 følger Selvstyrets bekendtgørelse nr. 3 af 4. februar 2011 om takstbetaling for pædagogisk udviklende kommunale dagtilbud til børn før skolealderen og at de fastsatte takster er inden for Selvstyrets minimums- og maksimumsgrænse. </w:t>
      </w:r>
    </w:p>
    <w:p w:rsidR="00A07506" w:rsidRPr="00A07506" w:rsidRDefault="00A07506" w:rsidP="00A07506">
      <w:pPr>
        <w:tabs>
          <w:tab w:val="clear" w:pos="284"/>
        </w:tabs>
        <w:rPr>
          <w:rFonts w:eastAsia="MS Gothic"/>
          <w:szCs w:val="24"/>
        </w:rPr>
      </w:pPr>
    </w:p>
    <w:p w:rsidR="00A07506" w:rsidRPr="00A07506" w:rsidRDefault="00A07506" w:rsidP="00A07506">
      <w:pPr>
        <w:tabs>
          <w:tab w:val="clear" w:pos="284"/>
        </w:tabs>
        <w:rPr>
          <w:rFonts w:eastAsia="MS Gothic"/>
          <w:szCs w:val="24"/>
        </w:rPr>
      </w:pPr>
    </w:p>
    <w:p w:rsidR="00A07506" w:rsidRPr="00A07506" w:rsidRDefault="00A07506" w:rsidP="00A07506">
      <w:pPr>
        <w:tabs>
          <w:tab w:val="clear" w:pos="284"/>
        </w:tabs>
        <w:rPr>
          <w:rFonts w:eastAsia="MS Gothic"/>
          <w:b/>
          <w:szCs w:val="24"/>
        </w:rPr>
      </w:pPr>
      <w:r w:rsidRPr="00A07506">
        <w:rPr>
          <w:rFonts w:eastAsia="MS Gothic"/>
          <w:b/>
          <w:szCs w:val="24"/>
        </w:rPr>
        <w:t>Indstilling</w:t>
      </w:r>
    </w:p>
    <w:p w:rsidR="00A07506" w:rsidRPr="00A07506" w:rsidRDefault="00A07506" w:rsidP="00A07506">
      <w:pPr>
        <w:tabs>
          <w:tab w:val="clear" w:pos="284"/>
        </w:tabs>
        <w:rPr>
          <w:rFonts w:eastAsia="MS Gothic"/>
          <w:szCs w:val="24"/>
        </w:rPr>
      </w:pPr>
      <w:r w:rsidRPr="00A07506">
        <w:rPr>
          <w:rFonts w:eastAsia="MS Gothic"/>
          <w:szCs w:val="24"/>
        </w:rPr>
        <w:t>Uddannelsesområdet indstiller til formanden for Udvalget for uddannelse beslutter på vegne af Udvalget for uddannelse, at forslaget godkendes som daginstitutionsbetaling for 2020 og at sagen sendes videre til økonomiudvalgets godkendelse.</w:t>
      </w:r>
    </w:p>
    <w:p w:rsidR="00A07506" w:rsidRPr="00A07506" w:rsidRDefault="00A07506" w:rsidP="00A07506">
      <w:pPr>
        <w:tabs>
          <w:tab w:val="clear" w:pos="284"/>
        </w:tabs>
        <w:rPr>
          <w:rFonts w:eastAsia="MS Gothic"/>
          <w:b/>
          <w:szCs w:val="24"/>
        </w:rPr>
      </w:pPr>
    </w:p>
    <w:p w:rsidR="00A07506" w:rsidRPr="00A07506" w:rsidRDefault="00A07506" w:rsidP="00A07506">
      <w:pPr>
        <w:tabs>
          <w:tab w:val="clear" w:pos="284"/>
        </w:tabs>
        <w:rPr>
          <w:rFonts w:eastAsia="MS Gothic"/>
          <w:b/>
          <w:szCs w:val="24"/>
        </w:rPr>
      </w:pPr>
    </w:p>
    <w:p w:rsidR="00A07506" w:rsidRPr="00A07506" w:rsidRDefault="00A07506" w:rsidP="00A07506">
      <w:pPr>
        <w:tabs>
          <w:tab w:val="clear" w:pos="284"/>
        </w:tabs>
        <w:rPr>
          <w:rFonts w:eastAsia="MS Gothic"/>
          <w:szCs w:val="24"/>
        </w:rPr>
      </w:pPr>
      <w:r w:rsidRPr="00A07506">
        <w:rPr>
          <w:rFonts w:eastAsia="MS Gothic"/>
          <w:szCs w:val="24"/>
        </w:rPr>
        <w:t>Formanden beslutter på vegne af Uddannelsesudvalget, at ovennævnte forslag vedr. daginstitutionsbetaling for 2020 godkendes</w:t>
      </w:r>
    </w:p>
    <w:p w:rsidR="00A07506" w:rsidRPr="00A07506" w:rsidRDefault="00A07506" w:rsidP="00A07506">
      <w:pPr>
        <w:tabs>
          <w:tab w:val="clear" w:pos="284"/>
        </w:tabs>
        <w:rPr>
          <w:rFonts w:eastAsia="MS Gothic"/>
          <w:b/>
          <w:szCs w:val="24"/>
        </w:rPr>
      </w:pPr>
    </w:p>
    <w:p w:rsidR="00A07506" w:rsidRPr="00A07506" w:rsidRDefault="00A07506" w:rsidP="00A07506">
      <w:pPr>
        <w:tabs>
          <w:tab w:val="clear" w:pos="284"/>
        </w:tabs>
        <w:rPr>
          <w:rFonts w:eastAsia="MS Gothic"/>
          <w:szCs w:val="24"/>
        </w:rPr>
      </w:pPr>
      <w:r w:rsidRPr="00A07506">
        <w:rPr>
          <w:rFonts w:eastAsia="MS Gothic"/>
          <w:szCs w:val="24"/>
        </w:rPr>
        <w:t>Uddannelsesudvalget orienteres om beslutningen ved næstkommende møde.</w:t>
      </w:r>
    </w:p>
    <w:p w:rsidR="00A07506" w:rsidRPr="00A07506" w:rsidRDefault="00A07506" w:rsidP="00A07506">
      <w:pPr>
        <w:tabs>
          <w:tab w:val="clear" w:pos="284"/>
        </w:tabs>
        <w:rPr>
          <w:rFonts w:eastAsia="MS Gothic"/>
          <w:b/>
          <w:szCs w:val="24"/>
        </w:rPr>
      </w:pPr>
    </w:p>
    <w:p w:rsidR="00A07506" w:rsidRPr="00A07506" w:rsidRDefault="00A07506" w:rsidP="00A07506">
      <w:pPr>
        <w:tabs>
          <w:tab w:val="clear" w:pos="284"/>
        </w:tabs>
        <w:rPr>
          <w:rFonts w:eastAsia="MS Gothic"/>
          <w:b/>
          <w:szCs w:val="24"/>
        </w:rPr>
      </w:pPr>
    </w:p>
    <w:p w:rsidR="00A07506" w:rsidRPr="00A07506" w:rsidRDefault="00A07506" w:rsidP="00A07506">
      <w:pPr>
        <w:tabs>
          <w:tab w:val="clear" w:pos="284"/>
        </w:tabs>
        <w:rPr>
          <w:rFonts w:eastAsia="MS Gothic"/>
          <w:b/>
          <w:szCs w:val="24"/>
        </w:rPr>
      </w:pPr>
      <w:r w:rsidRPr="00A07506">
        <w:rPr>
          <w:rFonts w:eastAsia="MS Gothic"/>
          <w:b/>
          <w:szCs w:val="24"/>
        </w:rPr>
        <w:t>__________________________________________________________________</w:t>
      </w:r>
    </w:p>
    <w:p w:rsidR="00A07506" w:rsidRPr="00A07506" w:rsidRDefault="00A07506" w:rsidP="00A07506">
      <w:pPr>
        <w:tabs>
          <w:tab w:val="clear" w:pos="284"/>
        </w:tabs>
        <w:rPr>
          <w:rFonts w:eastAsia="MS Gothic"/>
          <w:b/>
          <w:szCs w:val="24"/>
        </w:rPr>
      </w:pPr>
      <w:r w:rsidRPr="00A07506">
        <w:rPr>
          <w:rFonts w:eastAsia="MS Gothic"/>
          <w:b/>
          <w:szCs w:val="24"/>
        </w:rPr>
        <w:t>Evelyn Frederiksen</w:t>
      </w:r>
    </w:p>
    <w:p w:rsidR="00A07506" w:rsidRPr="00A07506" w:rsidRDefault="00A07506" w:rsidP="00A07506">
      <w:pPr>
        <w:tabs>
          <w:tab w:val="clear" w:pos="284"/>
        </w:tabs>
        <w:rPr>
          <w:rFonts w:eastAsia="MS Gothic"/>
          <w:b/>
          <w:szCs w:val="24"/>
        </w:rPr>
      </w:pPr>
      <w:r w:rsidRPr="00A07506">
        <w:rPr>
          <w:rFonts w:eastAsia="MS Gothic"/>
          <w:b/>
          <w:szCs w:val="24"/>
        </w:rPr>
        <w:t>Formand for Udvalget for Uddannelse</w:t>
      </w:r>
    </w:p>
    <w:p w:rsidR="00A07506" w:rsidRPr="00A07506" w:rsidRDefault="00A07506" w:rsidP="00A07506">
      <w:pPr>
        <w:tabs>
          <w:tab w:val="clear" w:pos="284"/>
        </w:tabs>
        <w:rPr>
          <w:rFonts w:eastAsia="MS Gothic"/>
          <w:b/>
          <w:szCs w:val="24"/>
        </w:rPr>
      </w:pPr>
      <w:r w:rsidRPr="00A07506">
        <w:rPr>
          <w:rFonts w:eastAsia="MS Gothic"/>
          <w:b/>
          <w:szCs w:val="24"/>
        </w:rPr>
        <w:t>Dato: 15.10.2019</w:t>
      </w:r>
    </w:p>
    <w:p w:rsidR="00A07506" w:rsidRPr="00A07506" w:rsidRDefault="00A07506" w:rsidP="00A07506">
      <w:pPr>
        <w:tabs>
          <w:tab w:val="clear" w:pos="284"/>
        </w:tabs>
        <w:rPr>
          <w:rFonts w:eastAsia="MS Gothic"/>
          <w:bCs/>
          <w:szCs w:val="24"/>
        </w:rPr>
      </w:pPr>
    </w:p>
    <w:p w:rsidR="00A07506" w:rsidRDefault="00A07506" w:rsidP="00A07506">
      <w:pPr>
        <w:tabs>
          <w:tab w:val="clear" w:pos="284"/>
        </w:tabs>
        <w:rPr>
          <w:rFonts w:eastAsia="MS Gothic"/>
          <w:b/>
          <w:bCs/>
          <w:szCs w:val="24"/>
        </w:rPr>
      </w:pPr>
      <w:r w:rsidRPr="00A07506">
        <w:rPr>
          <w:rFonts w:eastAsia="MS Gothic"/>
          <w:b/>
          <w:bCs/>
          <w:szCs w:val="24"/>
        </w:rPr>
        <w:t>Afgørelse</w:t>
      </w:r>
    </w:p>
    <w:p w:rsidR="00AA07A2" w:rsidRPr="00A07506" w:rsidRDefault="00AA07A2" w:rsidP="00A07506">
      <w:pPr>
        <w:tabs>
          <w:tab w:val="clear" w:pos="284"/>
        </w:tabs>
        <w:rPr>
          <w:rFonts w:eastAsia="MS Gothic"/>
          <w:b/>
          <w:bCs/>
          <w:szCs w:val="24"/>
        </w:rPr>
      </w:pPr>
    </w:p>
    <w:p w:rsidR="00AA07A2" w:rsidRPr="00AA07A2" w:rsidRDefault="00AA07A2" w:rsidP="00AA07A2">
      <w:pPr>
        <w:tabs>
          <w:tab w:val="clear" w:pos="284"/>
        </w:tabs>
        <w:rPr>
          <w:rFonts w:ascii="Arial" w:hAnsi="Arial" w:cs="Arial"/>
          <w:szCs w:val="24"/>
        </w:rPr>
      </w:pPr>
      <w:r w:rsidRPr="00AA07A2">
        <w:rPr>
          <w:rFonts w:ascii="Arial" w:hAnsi="Arial" w:cs="Arial"/>
          <w:szCs w:val="24"/>
        </w:rPr>
        <w:t>Or</w:t>
      </w:r>
      <w:r>
        <w:rPr>
          <w:rFonts w:ascii="Arial" w:hAnsi="Arial" w:cs="Arial"/>
          <w:szCs w:val="24"/>
        </w:rPr>
        <w:t>i</w:t>
      </w:r>
      <w:r w:rsidRPr="00AA07A2">
        <w:rPr>
          <w:rFonts w:ascii="Arial" w:hAnsi="Arial" w:cs="Arial"/>
          <w:szCs w:val="24"/>
        </w:rPr>
        <w:t>enteringen er taget til efterretning.</w:t>
      </w:r>
    </w:p>
    <w:p w:rsidR="00A07506" w:rsidRDefault="00A07506" w:rsidP="00A07506">
      <w:pPr>
        <w:tabs>
          <w:tab w:val="clear" w:pos="284"/>
        </w:tabs>
        <w:rPr>
          <w:rFonts w:eastAsia="MS Gothic"/>
          <w:bCs/>
          <w:szCs w:val="24"/>
        </w:rPr>
      </w:pPr>
    </w:p>
    <w:p w:rsidR="00A07506" w:rsidRPr="00A07506" w:rsidRDefault="00A07506" w:rsidP="00A07506">
      <w:pPr>
        <w:tabs>
          <w:tab w:val="clear" w:pos="284"/>
        </w:tabs>
        <w:rPr>
          <w:rFonts w:eastAsia="MS Gothic"/>
          <w:bCs/>
          <w:szCs w:val="24"/>
        </w:rPr>
      </w:pPr>
    </w:p>
    <w:p w:rsidR="00A07506" w:rsidRPr="00A07506" w:rsidRDefault="00A07506" w:rsidP="00A07506">
      <w:pPr>
        <w:tabs>
          <w:tab w:val="clear" w:pos="284"/>
        </w:tabs>
        <w:rPr>
          <w:rFonts w:eastAsia="MS Gothic"/>
          <w:b/>
          <w:szCs w:val="24"/>
        </w:rPr>
      </w:pPr>
      <w:r w:rsidRPr="00A07506">
        <w:rPr>
          <w:rFonts w:eastAsia="MS Gothic"/>
          <w:b/>
          <w:szCs w:val="24"/>
        </w:rPr>
        <w:t>Bilag</w:t>
      </w:r>
    </w:p>
    <w:p w:rsidR="00A07506" w:rsidRPr="00A07506" w:rsidRDefault="00A07506" w:rsidP="00A07506">
      <w:pPr>
        <w:numPr>
          <w:ilvl w:val="0"/>
          <w:numId w:val="28"/>
        </w:numPr>
        <w:tabs>
          <w:tab w:val="clear" w:pos="284"/>
        </w:tabs>
        <w:contextualSpacing/>
        <w:rPr>
          <w:rFonts w:eastAsia="MS Gothic"/>
          <w:b/>
          <w:szCs w:val="24"/>
        </w:rPr>
      </w:pPr>
      <w:r w:rsidRPr="00A07506">
        <w:rPr>
          <w:rFonts w:eastAsia="MS Gothic"/>
          <w:b/>
          <w:szCs w:val="24"/>
        </w:rPr>
        <w:t>Formandsbeslutning – forslag til takster i uddannelsesområdet.</w:t>
      </w:r>
    </w:p>
    <w:p w:rsidR="00A07506" w:rsidRPr="008D25FA" w:rsidRDefault="009F5D4A" w:rsidP="00A07506">
      <w:pPr>
        <w:pStyle w:val="Overskrift1"/>
        <w:rPr>
          <w:rFonts w:ascii="Times New Roman" w:hAnsi="Times New Roman"/>
          <w:b w:val="0"/>
          <w:sz w:val="24"/>
        </w:rPr>
      </w:pPr>
      <w:r>
        <w:rPr>
          <w:rFonts w:ascii="Times New Roman" w:hAnsi="Times New Roman"/>
          <w:sz w:val="28"/>
          <w:szCs w:val="28"/>
          <w:lang w:eastAsia="ja-JP"/>
        </w:rPr>
        <w:lastRenderedPageBreak/>
        <w:t>Punkt. 09</w:t>
      </w:r>
      <w:r w:rsidR="00A07506" w:rsidRPr="004C00EF">
        <w:rPr>
          <w:rFonts w:ascii="Times New Roman" w:hAnsi="Times New Roman"/>
          <w:sz w:val="28"/>
          <w:szCs w:val="28"/>
          <w:lang w:eastAsia="ja-JP"/>
        </w:rPr>
        <w:t xml:space="preserve"> Orientering om fagmøde mellem fagchefer, pædagogisk konsulenter/koordinator på førskoleområdet</w:t>
      </w:r>
      <w:r w:rsidR="00A07506">
        <w:rPr>
          <w:rFonts w:ascii="Times New Roman" w:hAnsi="Times New Roman"/>
          <w:sz w:val="28"/>
          <w:szCs w:val="28"/>
          <w:lang w:eastAsia="ja-JP"/>
        </w:rPr>
        <w:t>.</w:t>
      </w:r>
    </w:p>
    <w:p w:rsidR="00A07506" w:rsidRPr="008D25FA" w:rsidRDefault="00A07506" w:rsidP="00A07506">
      <w:pPr>
        <w:pStyle w:val="Overskrift1"/>
        <w:rPr>
          <w:rFonts w:ascii="Times New Roman" w:hAnsi="Times New Roman"/>
          <w:i/>
          <w:sz w:val="32"/>
        </w:rPr>
      </w:pPr>
      <w:r w:rsidRPr="008D25FA">
        <w:rPr>
          <w:rFonts w:ascii="Times New Roman" w:hAnsi="Times New Roman"/>
          <w:b w:val="0"/>
          <w:i/>
          <w:sz w:val="22"/>
        </w:rPr>
        <w:t xml:space="preserve">Journal nr. </w:t>
      </w:r>
      <w:r w:rsidRPr="00D171E6">
        <w:rPr>
          <w:rFonts w:ascii="Times New Roman" w:hAnsi="Times New Roman"/>
          <w:b w:val="0"/>
          <w:i/>
          <w:sz w:val="22"/>
        </w:rPr>
        <w:t>44.00</w:t>
      </w:r>
    </w:p>
    <w:p w:rsidR="00A07506" w:rsidRPr="008D25FA" w:rsidRDefault="00A07506" w:rsidP="00A07506">
      <w:pPr>
        <w:rPr>
          <w:i/>
        </w:rPr>
      </w:pPr>
    </w:p>
    <w:p w:rsidR="00A07506" w:rsidRPr="00131FF0" w:rsidRDefault="00A07506" w:rsidP="00A07506">
      <w:pPr>
        <w:rPr>
          <w:u w:val="single"/>
        </w:rPr>
      </w:pPr>
      <w:r w:rsidRPr="008D25FA">
        <w:rPr>
          <w:u w:val="single"/>
        </w:rPr>
        <w:t>Baggrund</w:t>
      </w:r>
    </w:p>
    <w:p w:rsidR="00A07506" w:rsidRDefault="00A07506" w:rsidP="00A07506">
      <w:r w:rsidRPr="005F38A8">
        <w:t>Uddannelsesstyrelsen indkalder hvert år til fagmøde, der i år blev afholdt fra den 24. - 2</w:t>
      </w:r>
      <w:r>
        <w:t>5</w:t>
      </w:r>
      <w:r w:rsidRPr="005F38A8">
        <w:t>. september 201</w:t>
      </w:r>
      <w:r>
        <w:t>9</w:t>
      </w:r>
      <w:r w:rsidRPr="005F38A8">
        <w:t>.</w:t>
      </w:r>
      <w:r>
        <w:t xml:space="preserve"> Fra Uddannelsesstyrelsen (ILA) deltager førskolekonsulenterne fra ILA, og fra kommunerne deltager pædagogiske konsulenter/koordinatorer og fagchefer. Fra Qeqqata Kommunia deltog daginstitutionschef og pædagogisk konsulent fra Sisimiut samt uddannelseschef og pædagogisk koordinator fra Maniitsoq.</w:t>
      </w:r>
    </w:p>
    <w:p w:rsidR="00A07506" w:rsidRDefault="00A07506" w:rsidP="00A07506"/>
    <w:p w:rsidR="00A07506" w:rsidRDefault="00A07506" w:rsidP="00A07506">
      <w:r>
        <w:t xml:space="preserve">Ved fagmødet blev der vekslet mellem kommunernes fremlæggelser, oplæg fra ILA, arbejdsgruppemøder samt arbejdsgruppefremlæggelser. Kommunerne fremlagde hver især deres præsentation </w:t>
      </w:r>
      <w:r w:rsidRPr="00573F87">
        <w:t xml:space="preserve">over </w:t>
      </w:r>
      <w:r>
        <w:t>egne</w:t>
      </w:r>
      <w:r w:rsidRPr="00573F87">
        <w:t xml:space="preserve"> mål, handleplaner samt evaluering fra sidste møde (2018-2019)</w:t>
      </w:r>
      <w:r>
        <w:t xml:space="preserve">; </w:t>
      </w:r>
      <w:r w:rsidRPr="00573F87">
        <w:t>Kommunerne</w:t>
      </w:r>
      <w:r>
        <w:t xml:space="preserve"> fremlagde også deres</w:t>
      </w:r>
      <w:r w:rsidRPr="00573F87">
        <w:t xml:space="preserve"> præsentation over </w:t>
      </w:r>
      <w:proofErr w:type="spellStart"/>
      <w:r w:rsidRPr="00573F87">
        <w:t>Naalakkersuisuts</w:t>
      </w:r>
      <w:proofErr w:type="spellEnd"/>
      <w:r w:rsidRPr="00573F87">
        <w:t xml:space="preserve"> strategi- og handleplan for fagpersonalet på daginstitutionerne</w:t>
      </w:r>
      <w:r>
        <w:t>; Der var d</w:t>
      </w:r>
      <w:r w:rsidRPr="00573F87">
        <w:t>ialog over screeningsværktøjerne MIIM 3 og MIIM 5</w:t>
      </w:r>
      <w:r>
        <w:t xml:space="preserve">; </w:t>
      </w:r>
      <w:r w:rsidRPr="00573F87">
        <w:t xml:space="preserve">Status </w:t>
      </w:r>
      <w:r>
        <w:t xml:space="preserve">og ønsker </w:t>
      </w:r>
      <w:r w:rsidRPr="00573F87">
        <w:t>fra ILA</w:t>
      </w:r>
      <w:r>
        <w:t xml:space="preserve"> og kommunerne</w:t>
      </w:r>
      <w:r w:rsidRPr="00573F87">
        <w:t xml:space="preserve"> omkring </w:t>
      </w:r>
      <w:proofErr w:type="spellStart"/>
      <w:r w:rsidRPr="00573F87">
        <w:t>Kivitseqatigiit</w:t>
      </w:r>
      <w:proofErr w:type="spellEnd"/>
      <w:r>
        <w:t>; og endelig var der info</w:t>
      </w:r>
      <w:r w:rsidRPr="00573F87">
        <w:t xml:space="preserve"> fra ILA</w:t>
      </w:r>
      <w:r>
        <w:t xml:space="preserve"> om s</w:t>
      </w:r>
      <w:r w:rsidRPr="00573F87">
        <w:t>tatus for arbejdet med overgangen fra ”daginstitution til skole”</w:t>
      </w:r>
      <w:r>
        <w:t>,</w:t>
      </w:r>
      <w:r w:rsidRPr="00573F87">
        <w:t xml:space="preserve"> 1.Oktober indberetning for daginstitution</w:t>
      </w:r>
      <w:r>
        <w:t xml:space="preserve">er og evt. afklaringsspørgsmål. </w:t>
      </w:r>
    </w:p>
    <w:p w:rsidR="00A07506" w:rsidRPr="008D25FA" w:rsidRDefault="00A07506" w:rsidP="00A07506"/>
    <w:p w:rsidR="00A07506" w:rsidRPr="008D25FA" w:rsidRDefault="00A07506" w:rsidP="00A07506">
      <w:pPr>
        <w:rPr>
          <w:u w:val="single"/>
        </w:rPr>
      </w:pPr>
      <w:r w:rsidRPr="008D25FA">
        <w:rPr>
          <w:u w:val="single"/>
        </w:rPr>
        <w:t xml:space="preserve">Regelgrundlag </w:t>
      </w:r>
    </w:p>
    <w:p w:rsidR="00A07506" w:rsidRPr="008D25FA" w:rsidRDefault="00A07506" w:rsidP="00A07506">
      <w:proofErr w:type="spellStart"/>
      <w:r w:rsidRPr="007F1631">
        <w:t>Inatsisartutlov</w:t>
      </w:r>
      <w:proofErr w:type="spellEnd"/>
      <w:r w:rsidRPr="007F1631">
        <w:t xml:space="preserve"> nr. 16 af 3. december 2012 om pædagogisk udviklende tilbud til børn i førskolealderen.</w:t>
      </w:r>
    </w:p>
    <w:p w:rsidR="00A07506" w:rsidRPr="008D25FA" w:rsidRDefault="00A07506" w:rsidP="00A07506"/>
    <w:p w:rsidR="00A07506" w:rsidRPr="008D25FA" w:rsidRDefault="00A07506" w:rsidP="00A07506">
      <w:pPr>
        <w:rPr>
          <w:u w:val="single"/>
        </w:rPr>
      </w:pPr>
      <w:r w:rsidRPr="008D25FA">
        <w:rPr>
          <w:u w:val="single"/>
        </w:rPr>
        <w:t>Faktiske forhold</w:t>
      </w:r>
    </w:p>
    <w:p w:rsidR="00A07506" w:rsidRDefault="00A07506" w:rsidP="00A07506">
      <w:proofErr w:type="spellStart"/>
      <w:r>
        <w:t>Kivitseqatigiit</w:t>
      </w:r>
      <w:proofErr w:type="spellEnd"/>
      <w:r>
        <w:t xml:space="preserve"> er de ressourcegrupper fra alle byer, som har deltaget i </w:t>
      </w:r>
      <w:proofErr w:type="spellStart"/>
      <w:r>
        <w:t>ILAs</w:t>
      </w:r>
      <w:proofErr w:type="spellEnd"/>
      <w:r>
        <w:t xml:space="preserve"> kurser </w:t>
      </w:r>
      <w:r w:rsidRPr="00D367BA">
        <w:t xml:space="preserve">siden januar 2013. </w:t>
      </w:r>
      <w:r>
        <w:t xml:space="preserve">De kurser som </w:t>
      </w:r>
      <w:proofErr w:type="spellStart"/>
      <w:r>
        <w:t>Kivitseqatigiit</w:t>
      </w:r>
      <w:proofErr w:type="spellEnd"/>
      <w:r>
        <w:t xml:space="preserve"> fra Qeqqata Kommunia har deltaget i er modul 0, modul 1, modul 2.a., modul 2.b. Næste modul bliver modul 3, hvor modul 4 bliver det sidste modul.</w:t>
      </w:r>
    </w:p>
    <w:p w:rsidR="00A07506" w:rsidRDefault="00A07506" w:rsidP="00A07506">
      <w:r>
        <w:t xml:space="preserve">De andre kommuner fortæller om stor udskiftning blandt </w:t>
      </w:r>
      <w:proofErr w:type="spellStart"/>
      <w:r>
        <w:t>Kivitseqatigiit</w:t>
      </w:r>
      <w:proofErr w:type="spellEnd"/>
      <w:r>
        <w:t xml:space="preserve"> fra de forskellige byer, således at nye </w:t>
      </w:r>
      <w:proofErr w:type="spellStart"/>
      <w:r>
        <w:t>Kivitseqatigiit</w:t>
      </w:r>
      <w:proofErr w:type="spellEnd"/>
      <w:r>
        <w:t xml:space="preserve"> har været nødt til at starte forfra, op til flere gange. Ved mødet blev der aftalt, hvad der skal gøres i de tilfælde at </w:t>
      </w:r>
      <w:proofErr w:type="spellStart"/>
      <w:r>
        <w:t>Kivitseqatigiit</w:t>
      </w:r>
      <w:proofErr w:type="spellEnd"/>
      <w:r>
        <w:t xml:space="preserve"> må tage kurserne om.</w:t>
      </w:r>
    </w:p>
    <w:p w:rsidR="00A07506" w:rsidRDefault="00A07506" w:rsidP="00A07506">
      <w:r>
        <w:t xml:space="preserve">I Qeqqata Kommunia er medlemmerne i </w:t>
      </w:r>
      <w:proofErr w:type="spellStart"/>
      <w:r>
        <w:t>Kivitseqatigiit</w:t>
      </w:r>
      <w:proofErr w:type="spellEnd"/>
      <w:r>
        <w:t xml:space="preserve"> meget stabile, og er derfor dem der er længst fremme i modulerne.</w:t>
      </w:r>
    </w:p>
    <w:p w:rsidR="00A07506" w:rsidRPr="00D367BA" w:rsidRDefault="00A07506" w:rsidP="00A07506">
      <w:proofErr w:type="spellStart"/>
      <w:r>
        <w:t>Kivitseqatigiit</w:t>
      </w:r>
      <w:proofErr w:type="spellEnd"/>
      <w:r>
        <w:t xml:space="preserve"> i Maniitsoq bliver meget rost for sit virke som en slags længe efterlyst ”rejsehold”. </w:t>
      </w:r>
      <w:proofErr w:type="spellStart"/>
      <w:r>
        <w:t>Kivitseqatigiit</w:t>
      </w:r>
      <w:proofErr w:type="spellEnd"/>
      <w:r>
        <w:t xml:space="preserve"> i Maniitsoq besøger alle Maniitsoqs bygder 2 gange om året, og videregiver input fra alle deres kurser til personalet på bygderne. Personalet på bygderne er oftest rent ufaglærte, og får stor udbytte af disse besøg.</w:t>
      </w:r>
    </w:p>
    <w:p w:rsidR="00A07506" w:rsidRDefault="00A07506" w:rsidP="00A07506"/>
    <w:p w:rsidR="00A07506" w:rsidRDefault="00A07506" w:rsidP="00A07506">
      <w:r>
        <w:t xml:space="preserve">Der var i år fokus på de børn, der ikke er i dagtilbud. Alle kommuner fremlagde deres tal. </w:t>
      </w:r>
    </w:p>
    <w:p w:rsidR="00A07506" w:rsidRDefault="00A07506" w:rsidP="00A07506">
      <w:r>
        <w:t>I Qeqqata Kommunia er 90 % af alle børn 0-5 år på daginstitution. Tallene ser således ud:</w:t>
      </w:r>
    </w:p>
    <w:p w:rsidR="00A07506" w:rsidRDefault="00A07506" w:rsidP="00A07506"/>
    <w:tbl>
      <w:tblPr>
        <w:tblStyle w:val="Tabel-Gitter"/>
        <w:tblW w:w="0" w:type="auto"/>
        <w:tblLook w:val="04A0" w:firstRow="1" w:lastRow="0" w:firstColumn="1" w:lastColumn="0" w:noHBand="0" w:noVBand="1"/>
      </w:tblPr>
      <w:tblGrid>
        <w:gridCol w:w="2407"/>
        <w:gridCol w:w="2407"/>
        <w:gridCol w:w="2407"/>
        <w:gridCol w:w="2407"/>
      </w:tblGrid>
      <w:tr w:rsidR="00A07506" w:rsidTr="002255CF">
        <w:tc>
          <w:tcPr>
            <w:tcW w:w="2407" w:type="dxa"/>
          </w:tcPr>
          <w:p w:rsidR="00A07506" w:rsidRPr="00DA5E9B" w:rsidRDefault="00A07506" w:rsidP="002255CF">
            <w:pPr>
              <w:rPr>
                <w:b/>
              </w:rPr>
            </w:pPr>
            <w:r w:rsidRPr="00DA5E9B">
              <w:rPr>
                <w:b/>
              </w:rPr>
              <w:t>Bosted</w:t>
            </w:r>
          </w:p>
        </w:tc>
        <w:tc>
          <w:tcPr>
            <w:tcW w:w="2407" w:type="dxa"/>
          </w:tcPr>
          <w:p w:rsidR="00A07506" w:rsidRPr="00DA5E9B" w:rsidRDefault="00A07506" w:rsidP="002255CF">
            <w:pPr>
              <w:rPr>
                <w:b/>
              </w:rPr>
            </w:pPr>
            <w:r w:rsidRPr="00DA5E9B">
              <w:rPr>
                <w:b/>
              </w:rPr>
              <w:t>I alt børn 0-5 år</w:t>
            </w:r>
          </w:p>
        </w:tc>
        <w:tc>
          <w:tcPr>
            <w:tcW w:w="2407" w:type="dxa"/>
          </w:tcPr>
          <w:p w:rsidR="00A07506" w:rsidRPr="00DA5E9B" w:rsidRDefault="00A07506" w:rsidP="002255CF">
            <w:pPr>
              <w:rPr>
                <w:b/>
              </w:rPr>
            </w:pPr>
            <w:r w:rsidRPr="00DA5E9B">
              <w:rPr>
                <w:b/>
              </w:rPr>
              <w:t>I alt i daginstitutioner</w:t>
            </w:r>
          </w:p>
        </w:tc>
        <w:tc>
          <w:tcPr>
            <w:tcW w:w="2407" w:type="dxa"/>
          </w:tcPr>
          <w:p w:rsidR="00A07506" w:rsidRPr="00DA5E9B" w:rsidRDefault="00A07506" w:rsidP="002255CF">
            <w:pPr>
              <w:rPr>
                <w:b/>
              </w:rPr>
            </w:pPr>
            <w:r w:rsidRPr="00DA5E9B">
              <w:rPr>
                <w:b/>
              </w:rPr>
              <w:t xml:space="preserve">I alt ikke i </w:t>
            </w:r>
            <w:proofErr w:type="spellStart"/>
            <w:r w:rsidRPr="00DA5E9B">
              <w:rPr>
                <w:b/>
              </w:rPr>
              <w:t>daginst</w:t>
            </w:r>
            <w:proofErr w:type="spellEnd"/>
            <w:r w:rsidRPr="00DA5E9B">
              <w:rPr>
                <w:b/>
              </w:rPr>
              <w:t>.</w:t>
            </w:r>
          </w:p>
        </w:tc>
      </w:tr>
      <w:tr w:rsidR="00A07506" w:rsidTr="002255CF">
        <w:tc>
          <w:tcPr>
            <w:tcW w:w="2407" w:type="dxa"/>
          </w:tcPr>
          <w:p w:rsidR="00A07506" w:rsidRPr="00DA5E9B" w:rsidRDefault="00A07506" w:rsidP="002255CF">
            <w:pPr>
              <w:rPr>
                <w:b/>
              </w:rPr>
            </w:pPr>
            <w:r w:rsidRPr="00DA5E9B">
              <w:rPr>
                <w:b/>
              </w:rPr>
              <w:t>Maniitsoq</w:t>
            </w:r>
          </w:p>
        </w:tc>
        <w:tc>
          <w:tcPr>
            <w:tcW w:w="2407" w:type="dxa"/>
          </w:tcPr>
          <w:p w:rsidR="00A07506" w:rsidRDefault="00A07506" w:rsidP="002255CF">
            <w:pPr>
              <w:jc w:val="right"/>
            </w:pPr>
            <w:r>
              <w:t>188</w:t>
            </w:r>
          </w:p>
        </w:tc>
        <w:tc>
          <w:tcPr>
            <w:tcW w:w="2407" w:type="dxa"/>
          </w:tcPr>
          <w:p w:rsidR="00A07506" w:rsidRDefault="00A07506" w:rsidP="002255CF">
            <w:pPr>
              <w:jc w:val="right"/>
            </w:pPr>
            <w:r>
              <w:t>173</w:t>
            </w:r>
          </w:p>
        </w:tc>
        <w:tc>
          <w:tcPr>
            <w:tcW w:w="2407" w:type="dxa"/>
          </w:tcPr>
          <w:p w:rsidR="00A07506" w:rsidRDefault="00A07506" w:rsidP="002255CF">
            <w:pPr>
              <w:jc w:val="right"/>
            </w:pPr>
            <w:r>
              <w:t>15</w:t>
            </w:r>
          </w:p>
        </w:tc>
      </w:tr>
      <w:tr w:rsidR="00A07506" w:rsidTr="002255CF">
        <w:tc>
          <w:tcPr>
            <w:tcW w:w="2407" w:type="dxa"/>
          </w:tcPr>
          <w:p w:rsidR="00A07506" w:rsidRPr="00DA5E9B" w:rsidRDefault="00A07506" w:rsidP="002255CF">
            <w:pPr>
              <w:rPr>
                <w:b/>
              </w:rPr>
            </w:pPr>
            <w:proofErr w:type="spellStart"/>
            <w:r w:rsidRPr="00DA5E9B">
              <w:rPr>
                <w:b/>
              </w:rPr>
              <w:t>Atammik</w:t>
            </w:r>
            <w:proofErr w:type="spellEnd"/>
          </w:p>
        </w:tc>
        <w:tc>
          <w:tcPr>
            <w:tcW w:w="2407" w:type="dxa"/>
          </w:tcPr>
          <w:p w:rsidR="00A07506" w:rsidRDefault="00A07506" w:rsidP="002255CF">
            <w:pPr>
              <w:jc w:val="right"/>
            </w:pPr>
            <w:r>
              <w:t>15</w:t>
            </w:r>
          </w:p>
        </w:tc>
        <w:tc>
          <w:tcPr>
            <w:tcW w:w="2407" w:type="dxa"/>
          </w:tcPr>
          <w:p w:rsidR="00A07506" w:rsidRDefault="00A07506" w:rsidP="002255CF">
            <w:pPr>
              <w:jc w:val="right"/>
            </w:pPr>
            <w:r>
              <w:t>15</w:t>
            </w:r>
          </w:p>
        </w:tc>
        <w:tc>
          <w:tcPr>
            <w:tcW w:w="2407" w:type="dxa"/>
          </w:tcPr>
          <w:p w:rsidR="00A07506" w:rsidRDefault="00A07506" w:rsidP="002255CF">
            <w:pPr>
              <w:jc w:val="right"/>
            </w:pPr>
            <w:r>
              <w:t>0</w:t>
            </w:r>
          </w:p>
        </w:tc>
      </w:tr>
      <w:tr w:rsidR="00A07506" w:rsidTr="002255CF">
        <w:tc>
          <w:tcPr>
            <w:tcW w:w="2407" w:type="dxa"/>
          </w:tcPr>
          <w:p w:rsidR="00A07506" w:rsidRPr="00DA5E9B" w:rsidRDefault="00A07506" w:rsidP="002255CF">
            <w:pPr>
              <w:rPr>
                <w:b/>
              </w:rPr>
            </w:pPr>
            <w:proofErr w:type="spellStart"/>
            <w:r w:rsidRPr="00DA5E9B">
              <w:rPr>
                <w:b/>
              </w:rPr>
              <w:t>Napasoq</w:t>
            </w:r>
            <w:proofErr w:type="spellEnd"/>
          </w:p>
        </w:tc>
        <w:tc>
          <w:tcPr>
            <w:tcW w:w="2407" w:type="dxa"/>
          </w:tcPr>
          <w:p w:rsidR="00A07506" w:rsidRDefault="00A07506" w:rsidP="002255CF">
            <w:pPr>
              <w:jc w:val="right"/>
            </w:pPr>
            <w:r>
              <w:t>4</w:t>
            </w:r>
          </w:p>
        </w:tc>
        <w:tc>
          <w:tcPr>
            <w:tcW w:w="2407" w:type="dxa"/>
          </w:tcPr>
          <w:p w:rsidR="00A07506" w:rsidRDefault="00A07506" w:rsidP="002255CF">
            <w:pPr>
              <w:jc w:val="right"/>
            </w:pPr>
            <w:r>
              <w:t>3</w:t>
            </w:r>
          </w:p>
        </w:tc>
        <w:tc>
          <w:tcPr>
            <w:tcW w:w="2407" w:type="dxa"/>
          </w:tcPr>
          <w:p w:rsidR="00A07506" w:rsidRDefault="00A07506" w:rsidP="002255CF">
            <w:pPr>
              <w:jc w:val="right"/>
            </w:pPr>
            <w:r>
              <w:t>1</w:t>
            </w:r>
          </w:p>
        </w:tc>
      </w:tr>
      <w:tr w:rsidR="00A07506" w:rsidTr="002255CF">
        <w:tc>
          <w:tcPr>
            <w:tcW w:w="2407" w:type="dxa"/>
          </w:tcPr>
          <w:p w:rsidR="00A07506" w:rsidRPr="00DA5E9B" w:rsidRDefault="00A07506" w:rsidP="002255CF">
            <w:pPr>
              <w:rPr>
                <w:b/>
              </w:rPr>
            </w:pPr>
            <w:proofErr w:type="spellStart"/>
            <w:r w:rsidRPr="00DA5E9B">
              <w:rPr>
                <w:b/>
              </w:rPr>
              <w:t>Kangaamiut</w:t>
            </w:r>
            <w:proofErr w:type="spellEnd"/>
          </w:p>
        </w:tc>
        <w:tc>
          <w:tcPr>
            <w:tcW w:w="2407" w:type="dxa"/>
          </w:tcPr>
          <w:p w:rsidR="00A07506" w:rsidRDefault="00A07506" w:rsidP="002255CF">
            <w:pPr>
              <w:jc w:val="right"/>
            </w:pPr>
            <w:r>
              <w:t>19</w:t>
            </w:r>
          </w:p>
        </w:tc>
        <w:tc>
          <w:tcPr>
            <w:tcW w:w="2407" w:type="dxa"/>
          </w:tcPr>
          <w:p w:rsidR="00A07506" w:rsidRDefault="00A07506" w:rsidP="002255CF">
            <w:pPr>
              <w:jc w:val="right"/>
            </w:pPr>
            <w:r>
              <w:t>17</w:t>
            </w:r>
          </w:p>
        </w:tc>
        <w:tc>
          <w:tcPr>
            <w:tcW w:w="2407" w:type="dxa"/>
          </w:tcPr>
          <w:p w:rsidR="00A07506" w:rsidRDefault="00A07506" w:rsidP="002255CF">
            <w:pPr>
              <w:jc w:val="right"/>
            </w:pPr>
            <w:r>
              <w:t>2</w:t>
            </w:r>
          </w:p>
        </w:tc>
      </w:tr>
      <w:tr w:rsidR="00A07506" w:rsidTr="002255CF">
        <w:tc>
          <w:tcPr>
            <w:tcW w:w="2407" w:type="dxa"/>
          </w:tcPr>
          <w:p w:rsidR="00A07506" w:rsidRPr="00DA5E9B" w:rsidRDefault="00A07506" w:rsidP="002255CF">
            <w:pPr>
              <w:rPr>
                <w:b/>
              </w:rPr>
            </w:pPr>
            <w:r w:rsidRPr="00DA5E9B">
              <w:rPr>
                <w:b/>
              </w:rPr>
              <w:lastRenderedPageBreak/>
              <w:t>Sisimiut</w:t>
            </w:r>
          </w:p>
        </w:tc>
        <w:tc>
          <w:tcPr>
            <w:tcW w:w="2407" w:type="dxa"/>
          </w:tcPr>
          <w:p w:rsidR="00A07506" w:rsidRDefault="00A07506" w:rsidP="002255CF">
            <w:pPr>
              <w:jc w:val="right"/>
            </w:pPr>
            <w:r>
              <w:t>487</w:t>
            </w:r>
          </w:p>
        </w:tc>
        <w:tc>
          <w:tcPr>
            <w:tcW w:w="2407" w:type="dxa"/>
          </w:tcPr>
          <w:p w:rsidR="00A07506" w:rsidRDefault="00A07506" w:rsidP="002255CF">
            <w:pPr>
              <w:jc w:val="right"/>
            </w:pPr>
            <w:r>
              <w:t>412</w:t>
            </w:r>
          </w:p>
        </w:tc>
        <w:tc>
          <w:tcPr>
            <w:tcW w:w="2407" w:type="dxa"/>
          </w:tcPr>
          <w:p w:rsidR="00A07506" w:rsidRDefault="00A07506" w:rsidP="002255CF">
            <w:pPr>
              <w:jc w:val="right"/>
            </w:pPr>
            <w:r>
              <w:t>75</w:t>
            </w:r>
          </w:p>
        </w:tc>
      </w:tr>
      <w:tr w:rsidR="00A07506" w:rsidTr="002255CF">
        <w:tc>
          <w:tcPr>
            <w:tcW w:w="2407" w:type="dxa"/>
          </w:tcPr>
          <w:p w:rsidR="00A07506" w:rsidRPr="00DA5E9B" w:rsidRDefault="00A07506" w:rsidP="002255CF">
            <w:pPr>
              <w:rPr>
                <w:b/>
              </w:rPr>
            </w:pPr>
            <w:r w:rsidRPr="00DA5E9B">
              <w:rPr>
                <w:b/>
              </w:rPr>
              <w:t>Itilleq</w:t>
            </w:r>
          </w:p>
        </w:tc>
        <w:tc>
          <w:tcPr>
            <w:tcW w:w="2407" w:type="dxa"/>
          </w:tcPr>
          <w:p w:rsidR="00A07506" w:rsidRDefault="00A07506" w:rsidP="002255CF">
            <w:pPr>
              <w:jc w:val="right"/>
            </w:pPr>
            <w:r>
              <w:t>14</w:t>
            </w:r>
          </w:p>
        </w:tc>
        <w:tc>
          <w:tcPr>
            <w:tcW w:w="2407" w:type="dxa"/>
          </w:tcPr>
          <w:p w:rsidR="00A07506" w:rsidRDefault="00A07506" w:rsidP="002255CF">
            <w:pPr>
              <w:jc w:val="right"/>
            </w:pPr>
            <w:r>
              <w:t>12</w:t>
            </w:r>
          </w:p>
        </w:tc>
        <w:tc>
          <w:tcPr>
            <w:tcW w:w="2407" w:type="dxa"/>
          </w:tcPr>
          <w:p w:rsidR="00A07506" w:rsidRDefault="00A07506" w:rsidP="002255CF">
            <w:pPr>
              <w:jc w:val="right"/>
            </w:pPr>
            <w:r>
              <w:t>2</w:t>
            </w:r>
          </w:p>
        </w:tc>
      </w:tr>
      <w:tr w:rsidR="00A07506" w:rsidTr="002255CF">
        <w:tc>
          <w:tcPr>
            <w:tcW w:w="2407" w:type="dxa"/>
          </w:tcPr>
          <w:p w:rsidR="00A07506" w:rsidRPr="00DA5E9B" w:rsidRDefault="00A07506" w:rsidP="002255CF">
            <w:pPr>
              <w:rPr>
                <w:b/>
              </w:rPr>
            </w:pPr>
            <w:r w:rsidRPr="00DA5E9B">
              <w:rPr>
                <w:b/>
              </w:rPr>
              <w:t>Sarfannguit</w:t>
            </w:r>
          </w:p>
        </w:tc>
        <w:tc>
          <w:tcPr>
            <w:tcW w:w="2407" w:type="dxa"/>
          </w:tcPr>
          <w:p w:rsidR="00A07506" w:rsidRDefault="00A07506" w:rsidP="002255CF">
            <w:pPr>
              <w:jc w:val="right"/>
            </w:pPr>
            <w:r>
              <w:t>6</w:t>
            </w:r>
          </w:p>
        </w:tc>
        <w:tc>
          <w:tcPr>
            <w:tcW w:w="2407" w:type="dxa"/>
          </w:tcPr>
          <w:p w:rsidR="00A07506" w:rsidRDefault="00A07506" w:rsidP="002255CF">
            <w:pPr>
              <w:jc w:val="right"/>
            </w:pPr>
            <w:r>
              <w:t>6</w:t>
            </w:r>
          </w:p>
        </w:tc>
        <w:tc>
          <w:tcPr>
            <w:tcW w:w="2407" w:type="dxa"/>
          </w:tcPr>
          <w:p w:rsidR="00A07506" w:rsidRDefault="00A07506" w:rsidP="002255CF">
            <w:pPr>
              <w:jc w:val="right"/>
            </w:pPr>
            <w:r>
              <w:t>0</w:t>
            </w:r>
          </w:p>
        </w:tc>
      </w:tr>
      <w:tr w:rsidR="00A07506" w:rsidTr="002255CF">
        <w:tc>
          <w:tcPr>
            <w:tcW w:w="2407" w:type="dxa"/>
          </w:tcPr>
          <w:p w:rsidR="00A07506" w:rsidRPr="00DA5E9B" w:rsidRDefault="00A07506" w:rsidP="002255CF">
            <w:pPr>
              <w:rPr>
                <w:b/>
              </w:rPr>
            </w:pPr>
            <w:r w:rsidRPr="00DA5E9B">
              <w:rPr>
                <w:b/>
              </w:rPr>
              <w:t>Kangerlussuaq</w:t>
            </w:r>
          </w:p>
        </w:tc>
        <w:tc>
          <w:tcPr>
            <w:tcW w:w="2407" w:type="dxa"/>
          </w:tcPr>
          <w:p w:rsidR="00A07506" w:rsidRDefault="00A07506" w:rsidP="002255CF">
            <w:pPr>
              <w:jc w:val="right"/>
            </w:pPr>
            <w:r>
              <w:t>32</w:t>
            </w:r>
          </w:p>
        </w:tc>
        <w:tc>
          <w:tcPr>
            <w:tcW w:w="2407" w:type="dxa"/>
          </w:tcPr>
          <w:p w:rsidR="00A07506" w:rsidRDefault="00A07506" w:rsidP="002255CF">
            <w:pPr>
              <w:jc w:val="right"/>
            </w:pPr>
            <w:r>
              <w:t>30</w:t>
            </w:r>
          </w:p>
        </w:tc>
        <w:tc>
          <w:tcPr>
            <w:tcW w:w="2407" w:type="dxa"/>
          </w:tcPr>
          <w:p w:rsidR="00A07506" w:rsidRDefault="00A07506" w:rsidP="002255CF">
            <w:pPr>
              <w:jc w:val="right"/>
            </w:pPr>
            <w:r>
              <w:t>2</w:t>
            </w:r>
          </w:p>
        </w:tc>
      </w:tr>
      <w:tr w:rsidR="00A07506" w:rsidTr="002255CF">
        <w:tc>
          <w:tcPr>
            <w:tcW w:w="2407" w:type="dxa"/>
          </w:tcPr>
          <w:p w:rsidR="00A07506" w:rsidRPr="00DA5E9B" w:rsidRDefault="00A07506" w:rsidP="002255CF">
            <w:pPr>
              <w:rPr>
                <w:b/>
              </w:rPr>
            </w:pPr>
            <w:r>
              <w:rPr>
                <w:b/>
              </w:rPr>
              <w:t>Qeqqata Kommunia</w:t>
            </w:r>
          </w:p>
        </w:tc>
        <w:tc>
          <w:tcPr>
            <w:tcW w:w="2407" w:type="dxa"/>
          </w:tcPr>
          <w:p w:rsidR="00A07506" w:rsidRDefault="00A07506" w:rsidP="002255CF">
            <w:pPr>
              <w:jc w:val="right"/>
            </w:pPr>
            <w:r>
              <w:t>765</w:t>
            </w:r>
          </w:p>
        </w:tc>
        <w:tc>
          <w:tcPr>
            <w:tcW w:w="2407" w:type="dxa"/>
          </w:tcPr>
          <w:p w:rsidR="00A07506" w:rsidRDefault="00A07506" w:rsidP="002255CF">
            <w:pPr>
              <w:jc w:val="right"/>
            </w:pPr>
            <w:r>
              <w:t>688</w:t>
            </w:r>
          </w:p>
        </w:tc>
        <w:tc>
          <w:tcPr>
            <w:tcW w:w="2407" w:type="dxa"/>
          </w:tcPr>
          <w:p w:rsidR="00A07506" w:rsidRDefault="00A07506" w:rsidP="002255CF">
            <w:pPr>
              <w:jc w:val="right"/>
            </w:pPr>
            <w:r>
              <w:t>97</w:t>
            </w:r>
          </w:p>
        </w:tc>
      </w:tr>
    </w:tbl>
    <w:p w:rsidR="00A07506" w:rsidRDefault="00A07506" w:rsidP="00A07506"/>
    <w:p w:rsidR="00A07506" w:rsidRDefault="00A07506" w:rsidP="00A07506">
      <w:r>
        <w:t>Udfordringen for kommunerne vedr. børn, der ikke er på daginstitutioner handler om, at også de børn skal tilbydes forberedelse til skolestart, hvorunder de skal testes for MII</w:t>
      </w:r>
      <w:r w:rsidRPr="00944023">
        <w:t xml:space="preserve">M </w:t>
      </w:r>
      <w:r>
        <w:t xml:space="preserve">3 og MIIM </w:t>
      </w:r>
      <w:r w:rsidRPr="00944023">
        <w:t xml:space="preserve">5. </w:t>
      </w:r>
      <w:r>
        <w:t>Ved fagmødet var der arbejdsgruppemøder med udarbejdelse af forslag til h</w:t>
      </w:r>
      <w:r w:rsidRPr="00944023">
        <w:t xml:space="preserve">vem </w:t>
      </w:r>
      <w:r>
        <w:t>i så fald skal teste børnene og forberede dem til skolestart, afhængig af bosted.</w:t>
      </w:r>
    </w:p>
    <w:p w:rsidR="00A07506" w:rsidRDefault="00A07506" w:rsidP="00A07506"/>
    <w:p w:rsidR="00A07506" w:rsidRDefault="00A07506" w:rsidP="00A07506">
      <w:r>
        <w:t xml:space="preserve">Folkeskolerne har igennem flere år afleveret 1. </w:t>
      </w:r>
      <w:proofErr w:type="spellStart"/>
      <w:r>
        <w:t>oktoberindberetninger</w:t>
      </w:r>
      <w:proofErr w:type="spellEnd"/>
      <w:r>
        <w:t xml:space="preserve">. Som noget nyt er daginstitutionerne begyndt at aflevere 1. </w:t>
      </w:r>
      <w:proofErr w:type="spellStart"/>
      <w:r>
        <w:t>oktoberindberetninger</w:t>
      </w:r>
      <w:proofErr w:type="spellEnd"/>
      <w:r>
        <w:t xml:space="preserve"> til styrelsen fra 2018. Det har givet en del begyndervanskel-ligheder, hvor der blev aftalt en ankermand fra kommunerne, hvem der holder øje med, at alle kommunernes dagtilbud får afleveret 1. </w:t>
      </w:r>
      <w:proofErr w:type="spellStart"/>
      <w:r>
        <w:t>oktoberindberetninger</w:t>
      </w:r>
      <w:proofErr w:type="spellEnd"/>
      <w:r>
        <w:t xml:space="preserve">. </w:t>
      </w:r>
    </w:p>
    <w:p w:rsidR="00A07506" w:rsidRDefault="00A07506" w:rsidP="00A07506"/>
    <w:p w:rsidR="00A07506" w:rsidRPr="00573F87" w:rsidRDefault="00A07506" w:rsidP="00A07506">
      <w:r>
        <w:t>En årlig tilbagevendende hjertesuk fra kommunerne blev igen afleveret til ILA. Igennem alle årene har kommunerne efterspurgt bedre lovgivningsmæssige rammer for daginstitutionerne og dagplejecentrene. For eksempel viste det sig, at kommunerne tolker dagplejecenter forskelligt. Nogle kommuner har fx dagplejere ansat i en bygning. Har aflønnes personalet som dagplejere med 47 timers arbejdsuge, med dagplejelønninger, hvor madindkøb er i lønnen, og hvor dagplejerne selv tager sig af rengøring, ingen ledere og en børnenormering på 4 børn pr. dagplejer. Andre kommuner har i bygderne små daginstitutioner med meget få børn, men hvor lovgivningen ikke matcher daginstitutionslovgivningen mht. personale- og børnenormeringer. Der er heller ingen lovgivning omkring dagplejecenter, hverken en definition, normeringer mht. personale og børn, ej heller omkring fysiske rammer.</w:t>
      </w:r>
    </w:p>
    <w:p w:rsidR="00A07506" w:rsidRPr="008D25FA" w:rsidRDefault="00A07506" w:rsidP="00A07506"/>
    <w:p w:rsidR="00A07506" w:rsidRPr="008D25FA" w:rsidRDefault="00A07506" w:rsidP="00A07506">
      <w:pPr>
        <w:rPr>
          <w:u w:val="single"/>
        </w:rPr>
      </w:pPr>
      <w:r w:rsidRPr="008D25FA">
        <w:rPr>
          <w:u w:val="single"/>
        </w:rPr>
        <w:t>Bæredygtige konsekvenser</w:t>
      </w:r>
    </w:p>
    <w:p w:rsidR="00A07506" w:rsidRPr="008D25FA" w:rsidRDefault="00A07506" w:rsidP="00A07506">
      <w:r>
        <w:t>Det er tydeligt, at forbedrede indsatser på førskoleområdet giver bedre pædagogisk indsats på daginstitutionsområdet, som igen giver bedre rustede børn til folkeskolen.</w:t>
      </w:r>
    </w:p>
    <w:p w:rsidR="00A07506" w:rsidRPr="008D25FA" w:rsidRDefault="00A07506" w:rsidP="00A07506"/>
    <w:p w:rsidR="00A07506" w:rsidRPr="008D25FA" w:rsidRDefault="00A07506" w:rsidP="00A07506">
      <w:pPr>
        <w:rPr>
          <w:u w:val="single"/>
        </w:rPr>
      </w:pPr>
      <w:r w:rsidRPr="008D25FA">
        <w:rPr>
          <w:u w:val="single"/>
        </w:rPr>
        <w:t>Økonomiske og administrative konsekvenser</w:t>
      </w:r>
    </w:p>
    <w:p w:rsidR="00A07506" w:rsidRPr="008D25FA" w:rsidRDefault="00A07506" w:rsidP="00A07506">
      <w:r w:rsidRPr="001D4EAB">
        <w:t xml:space="preserve">Deltagelse ved </w:t>
      </w:r>
      <w:r>
        <w:t>fagmødet</w:t>
      </w:r>
      <w:r w:rsidRPr="001D4EAB">
        <w:t xml:space="preserve"> blev betalt af Departement for Uddannelse, Kultur og Kirke. Qeqqata Kommunia har kun afholdt udgifter i forbindelse med udbetaling af dagpenge til deltagerne fra kommunen.</w:t>
      </w:r>
    </w:p>
    <w:p w:rsidR="00A07506" w:rsidRPr="008D25FA" w:rsidRDefault="00A07506" w:rsidP="00A07506"/>
    <w:p w:rsidR="00A07506" w:rsidRPr="008D25FA" w:rsidRDefault="00A07506" w:rsidP="00A07506">
      <w:pPr>
        <w:rPr>
          <w:u w:val="single"/>
        </w:rPr>
      </w:pPr>
      <w:r w:rsidRPr="008D25FA">
        <w:rPr>
          <w:u w:val="single"/>
        </w:rPr>
        <w:t>Administrationens vurdering</w:t>
      </w:r>
    </w:p>
    <w:p w:rsidR="00A07506" w:rsidRPr="008D25FA" w:rsidRDefault="00A07506" w:rsidP="00A07506">
      <w:r>
        <w:t xml:space="preserve">Deltagelse i disse årlige fagmøder på førskoleområdet giver et godt dialog mellem Uddannelsesstyrelsen (ILA) og kommunerne. De pædagogiske værktøjer udvikles i dette tætte dialog, der gives en retning på hvor førskoleområdet i Grønland har brug for at blive styrket. Der bliver arbejdet med udvikling af pædagogiske værktøjer, udveksling af erfaringer ved udvikling af disse værktøjer som spredes ud til hele Grønland som standarder. </w:t>
      </w:r>
    </w:p>
    <w:p w:rsidR="00A07506" w:rsidRPr="008D25FA" w:rsidRDefault="00A07506" w:rsidP="00A07506">
      <w:r>
        <w:t>Igennem dette pædagogiske arbejde udvikles pædagogikken på førskoleområdet, der gør børnene bedre rustede til folkeskolen. Dette arbejde styrkes når også forvaltningscheferne inddrages, således også at kommunalbestyrelserne kan følge med og støtte dette arbejde.</w:t>
      </w:r>
    </w:p>
    <w:p w:rsidR="00A07506" w:rsidRPr="008D25FA" w:rsidRDefault="00A07506" w:rsidP="00A07506"/>
    <w:p w:rsidR="00A07506" w:rsidRPr="008D25FA" w:rsidRDefault="00A07506" w:rsidP="00A07506">
      <w:pPr>
        <w:rPr>
          <w:b/>
        </w:rPr>
      </w:pPr>
      <w:r w:rsidRPr="008D25FA">
        <w:rPr>
          <w:b/>
        </w:rPr>
        <w:t>Indstilling</w:t>
      </w:r>
    </w:p>
    <w:p w:rsidR="00A07506" w:rsidRPr="008D25FA" w:rsidRDefault="00A07506" w:rsidP="00A07506">
      <w:r w:rsidRPr="00424C0D">
        <w:t>Sagen forelægges til Udvalg for Uddannelse til orientering.</w:t>
      </w:r>
    </w:p>
    <w:p w:rsidR="00A07506" w:rsidRPr="008D25FA" w:rsidRDefault="00A07506" w:rsidP="00A07506"/>
    <w:p w:rsidR="00A07506" w:rsidRPr="008D25FA" w:rsidRDefault="00A07506" w:rsidP="00A07506">
      <w:pPr>
        <w:rPr>
          <w:b/>
        </w:rPr>
      </w:pPr>
      <w:r w:rsidRPr="008D25FA">
        <w:rPr>
          <w:b/>
        </w:rPr>
        <w:t>Afgørelse</w:t>
      </w:r>
    </w:p>
    <w:p w:rsidR="00A07506" w:rsidRPr="008D25FA" w:rsidRDefault="00A07506" w:rsidP="00A07506"/>
    <w:p w:rsidR="00A07506" w:rsidRPr="00AA07A2" w:rsidRDefault="00AA07A2" w:rsidP="00A07506">
      <w:pPr>
        <w:rPr>
          <w:bCs/>
        </w:rPr>
      </w:pPr>
      <w:r w:rsidRPr="00AA07A2">
        <w:rPr>
          <w:bCs/>
        </w:rPr>
        <w:t>Taget til efterretning.</w:t>
      </w:r>
    </w:p>
    <w:p w:rsidR="00AA07A2" w:rsidRPr="008D25FA" w:rsidRDefault="00AA07A2" w:rsidP="00A07506">
      <w:pPr>
        <w:rPr>
          <w:bCs/>
        </w:rPr>
      </w:pPr>
    </w:p>
    <w:p w:rsidR="00A07506" w:rsidRPr="008D25FA" w:rsidRDefault="00A07506" w:rsidP="00A07506">
      <w:pPr>
        <w:rPr>
          <w:b/>
        </w:rPr>
      </w:pPr>
      <w:r w:rsidRPr="008D25FA">
        <w:rPr>
          <w:b/>
        </w:rPr>
        <w:t>Bilag</w:t>
      </w:r>
    </w:p>
    <w:p w:rsidR="00A07506" w:rsidRPr="00E94E4E" w:rsidRDefault="00A07506" w:rsidP="00A07506">
      <w:pPr>
        <w:numPr>
          <w:ilvl w:val="0"/>
          <w:numId w:val="30"/>
        </w:numPr>
        <w:tabs>
          <w:tab w:val="clear" w:pos="284"/>
        </w:tabs>
      </w:pPr>
      <w:r>
        <w:rPr>
          <w:bCs/>
        </w:rPr>
        <w:t>Dagsorden</w:t>
      </w:r>
    </w:p>
    <w:p w:rsidR="00A07506" w:rsidRPr="007C2AD4" w:rsidRDefault="00A07506" w:rsidP="00A07506">
      <w:pPr>
        <w:numPr>
          <w:ilvl w:val="0"/>
          <w:numId w:val="30"/>
        </w:numPr>
        <w:tabs>
          <w:tab w:val="clear" w:pos="284"/>
        </w:tabs>
      </w:pPr>
      <w:r>
        <w:rPr>
          <w:bCs/>
        </w:rPr>
        <w:t xml:space="preserve">Status på </w:t>
      </w:r>
      <w:proofErr w:type="spellStart"/>
      <w:r>
        <w:rPr>
          <w:bCs/>
        </w:rPr>
        <w:t>Kivitseqatigiit</w:t>
      </w:r>
      <w:proofErr w:type="spellEnd"/>
      <w:r>
        <w:rPr>
          <w:bCs/>
        </w:rPr>
        <w:t xml:space="preserve"> i Grønland</w:t>
      </w:r>
    </w:p>
    <w:p w:rsidR="00A07506" w:rsidRDefault="00A07506" w:rsidP="007F1574">
      <w:pPr>
        <w:tabs>
          <w:tab w:val="clear" w:pos="284"/>
        </w:tabs>
        <w:spacing w:after="160" w:line="259" w:lineRule="auto"/>
        <w:rPr>
          <w:b/>
          <w:sz w:val="28"/>
          <w:szCs w:val="28"/>
          <w:u w:val="single"/>
        </w:rPr>
      </w:pPr>
    </w:p>
    <w:p w:rsidR="00A07506" w:rsidRDefault="00A07506" w:rsidP="00A07506">
      <w:pPr>
        <w:pStyle w:val="Overskrift1"/>
        <w:rPr>
          <w:rFonts w:ascii="Times New Roman" w:hAnsi="Times New Roman"/>
          <w:sz w:val="28"/>
          <w:szCs w:val="28"/>
          <w:lang w:eastAsia="ja-JP"/>
        </w:rPr>
      </w:pPr>
      <w:r w:rsidRPr="006C7C46">
        <w:rPr>
          <w:rFonts w:ascii="Times New Roman" w:hAnsi="Times New Roman"/>
          <w:sz w:val="28"/>
          <w:szCs w:val="28"/>
          <w:lang w:eastAsia="ja-JP"/>
        </w:rPr>
        <w:softHyphen/>
      </w:r>
    </w:p>
    <w:p w:rsidR="00A07506" w:rsidRDefault="00A07506">
      <w:pPr>
        <w:tabs>
          <w:tab w:val="clear" w:pos="284"/>
        </w:tabs>
        <w:spacing w:after="160" w:line="259" w:lineRule="auto"/>
        <w:rPr>
          <w:rFonts w:eastAsia="MS Gothic"/>
          <w:b/>
          <w:color w:val="000000"/>
          <w:sz w:val="28"/>
          <w:szCs w:val="28"/>
          <w:lang w:eastAsia="ja-JP"/>
        </w:rPr>
      </w:pPr>
      <w:r>
        <w:rPr>
          <w:sz w:val="28"/>
          <w:szCs w:val="28"/>
          <w:lang w:eastAsia="ja-JP"/>
        </w:rPr>
        <w:br w:type="page"/>
      </w:r>
    </w:p>
    <w:p w:rsidR="00A07506" w:rsidRPr="006C7C46" w:rsidRDefault="009F5D4A" w:rsidP="00A07506">
      <w:pPr>
        <w:pStyle w:val="Overskrift1"/>
        <w:rPr>
          <w:rFonts w:ascii="Times New Roman" w:hAnsi="Times New Roman"/>
          <w:b w:val="0"/>
          <w:sz w:val="28"/>
          <w:szCs w:val="28"/>
        </w:rPr>
      </w:pPr>
      <w:r>
        <w:rPr>
          <w:rFonts w:ascii="Times New Roman" w:hAnsi="Times New Roman"/>
          <w:sz w:val="28"/>
          <w:szCs w:val="28"/>
          <w:lang w:eastAsia="ja-JP"/>
        </w:rPr>
        <w:lastRenderedPageBreak/>
        <w:t>Punkt. 10</w:t>
      </w:r>
      <w:r w:rsidR="00A07506" w:rsidRPr="006C7C46">
        <w:rPr>
          <w:rFonts w:ascii="Times New Roman" w:hAnsi="Times New Roman"/>
          <w:sz w:val="28"/>
          <w:szCs w:val="28"/>
          <w:lang w:eastAsia="ja-JP"/>
        </w:rPr>
        <w:t xml:space="preserve"> Orientering om følgegruppemøde vedr. Strategi- og handleplan for fagpersonalet på daginstitutionerne</w:t>
      </w:r>
    </w:p>
    <w:p w:rsidR="00A07506" w:rsidRPr="008D25FA" w:rsidRDefault="00A07506" w:rsidP="00A07506">
      <w:pPr>
        <w:pStyle w:val="Overskrift1"/>
        <w:rPr>
          <w:rFonts w:ascii="Times New Roman" w:hAnsi="Times New Roman"/>
          <w:i/>
          <w:sz w:val="32"/>
        </w:rPr>
      </w:pPr>
      <w:r w:rsidRPr="008D25FA">
        <w:rPr>
          <w:rFonts w:ascii="Times New Roman" w:hAnsi="Times New Roman"/>
          <w:b w:val="0"/>
          <w:i/>
          <w:sz w:val="22"/>
        </w:rPr>
        <w:t xml:space="preserve">Journal nr. </w:t>
      </w:r>
      <w:r w:rsidRPr="00D171E6">
        <w:rPr>
          <w:rFonts w:ascii="Times New Roman" w:hAnsi="Times New Roman"/>
          <w:b w:val="0"/>
          <w:i/>
          <w:sz w:val="22"/>
        </w:rPr>
        <w:t>44.00</w:t>
      </w:r>
    </w:p>
    <w:p w:rsidR="00A07506" w:rsidRPr="008D25FA" w:rsidRDefault="00A07506" w:rsidP="00A07506"/>
    <w:p w:rsidR="00A07506" w:rsidRPr="008D25FA" w:rsidRDefault="00A07506" w:rsidP="00A07506">
      <w:pPr>
        <w:rPr>
          <w:i/>
        </w:rPr>
      </w:pPr>
    </w:p>
    <w:p w:rsidR="00A07506" w:rsidRPr="00131FF0" w:rsidRDefault="00A07506" w:rsidP="00A07506">
      <w:pPr>
        <w:rPr>
          <w:u w:val="single"/>
        </w:rPr>
      </w:pPr>
      <w:r w:rsidRPr="008D25FA">
        <w:rPr>
          <w:u w:val="single"/>
        </w:rPr>
        <w:t>Baggrund</w:t>
      </w:r>
    </w:p>
    <w:p w:rsidR="00A07506" w:rsidRDefault="00A07506" w:rsidP="00A07506">
      <w:r>
        <w:t xml:space="preserve">Den 26. september 2019 blev afholdt et følgegruppemøde vedr. </w:t>
      </w:r>
      <w:r w:rsidRPr="005F38A8">
        <w:t>Strategi- og handleplan for fagpersonalet på daginstitutionerne</w:t>
      </w:r>
      <w:r>
        <w:t xml:space="preserve">. Deltagerne var </w:t>
      </w:r>
      <w:r w:rsidRPr="00C579A2">
        <w:t>en række faglige organisationer, fagpersoner, uddannelsesinstitutioner, departementer m.v.</w:t>
      </w:r>
      <w:r>
        <w:t xml:space="preserve"> Fra Qeqqata Kommunia deltog daginstitutionschef og pædagogisk konsulent fra Sisimiut samt uddannelseschef og pædagogisk koordinator fra Maniitsoq.</w:t>
      </w:r>
    </w:p>
    <w:p w:rsidR="00A07506" w:rsidRDefault="00A07506" w:rsidP="00A07506"/>
    <w:p w:rsidR="00A07506" w:rsidRPr="001A1C37" w:rsidRDefault="00A07506" w:rsidP="00A07506">
      <w:r w:rsidRPr="001A1C37">
        <w:t>Én barriere mod effektive, sammenhængende indsatser er den store personaleudskiftning og mangel på kvalificeret pædagogisk personale på førskoleområ</w:t>
      </w:r>
      <w:r>
        <w:t>det</w:t>
      </w:r>
      <w:r w:rsidRPr="001A1C37">
        <w:t xml:space="preserve">. Som konsekvens heraf vedtog </w:t>
      </w:r>
      <w:proofErr w:type="spellStart"/>
      <w:r w:rsidRPr="001A1C37">
        <w:t>Inatsisartut</w:t>
      </w:r>
      <w:proofErr w:type="spellEnd"/>
      <w:r w:rsidRPr="001A1C37">
        <w:t xml:space="preserve"> i efteråret 2016 et beslutningsforslag om, at der skulle udarbejdes en Strategi- og handleplan for fagpersonalet på daginstitutionerne, som efterføl</w:t>
      </w:r>
      <w:r>
        <w:t xml:space="preserve">gende blev udarbejdet af </w:t>
      </w:r>
      <w:proofErr w:type="spellStart"/>
      <w:r>
        <w:t>Naalak</w:t>
      </w:r>
      <w:r w:rsidRPr="001A1C37">
        <w:t>kersuisut</w:t>
      </w:r>
      <w:proofErr w:type="spellEnd"/>
      <w:r w:rsidRPr="001A1C37">
        <w:t xml:space="preserve"> og endeligt vedtaget i efteråret 2018. Strategi- og handleplanen har til formål at sikre flere uddannede pædagoger samt fastholde og opkvalificere det eksister</w:t>
      </w:r>
      <w:r>
        <w:t>ende personale på daginstitutio</w:t>
      </w:r>
      <w:r w:rsidRPr="001A1C37">
        <w:t>nerne. Dette skal ske gennem følgende fokusområder:</w:t>
      </w:r>
    </w:p>
    <w:p w:rsidR="00A07506" w:rsidRPr="001A1C37" w:rsidRDefault="00A07506" w:rsidP="00A07506">
      <w:pPr>
        <w:pStyle w:val="Listeafsnit"/>
        <w:numPr>
          <w:ilvl w:val="0"/>
          <w:numId w:val="31"/>
        </w:numPr>
        <w:tabs>
          <w:tab w:val="clear" w:pos="284"/>
        </w:tabs>
      </w:pPr>
      <w:r w:rsidRPr="001A1C37">
        <w:t>At fastholde det pædagogiske personale i dagtilbuddene.</w:t>
      </w:r>
    </w:p>
    <w:p w:rsidR="00A07506" w:rsidRPr="001A1C37" w:rsidRDefault="00A07506" w:rsidP="00A07506">
      <w:pPr>
        <w:pStyle w:val="Listeafsnit"/>
        <w:numPr>
          <w:ilvl w:val="0"/>
          <w:numId w:val="31"/>
        </w:numPr>
        <w:tabs>
          <w:tab w:val="clear" w:pos="284"/>
        </w:tabs>
      </w:pPr>
      <w:r w:rsidRPr="001A1C37">
        <w:t>At uddannelsen, efter- og videreuddannelsen og opkvalificeringen af det pædagogiske personale i landets daginstitutioner optimeres kvalitetsmæssigt og indholdsmæssigt.</w:t>
      </w:r>
    </w:p>
    <w:p w:rsidR="00A07506" w:rsidRPr="001A1C37" w:rsidRDefault="00A07506" w:rsidP="00A07506">
      <w:pPr>
        <w:pStyle w:val="Listeafsnit"/>
        <w:numPr>
          <w:ilvl w:val="0"/>
          <w:numId w:val="31"/>
        </w:numPr>
        <w:tabs>
          <w:tab w:val="clear" w:pos="284"/>
        </w:tabs>
      </w:pPr>
      <w:r w:rsidRPr="001A1C37">
        <w:t>At sikre fortsat fokus på det psykiske og fysiske arbejdsmiljø i dagtilbuddene.</w:t>
      </w:r>
    </w:p>
    <w:p w:rsidR="00A07506" w:rsidRPr="001A1C37" w:rsidRDefault="00A07506" w:rsidP="00A07506">
      <w:pPr>
        <w:pStyle w:val="Listeafsnit"/>
        <w:numPr>
          <w:ilvl w:val="0"/>
          <w:numId w:val="31"/>
        </w:numPr>
        <w:tabs>
          <w:tab w:val="clear" w:pos="284"/>
        </w:tabs>
      </w:pPr>
      <w:r w:rsidRPr="001A1C37">
        <w:t>At brugen af IT både administrativt og pædagogisk bliver t</w:t>
      </w:r>
      <w:r>
        <w:t>idssvarende og i overensstemmel</w:t>
      </w:r>
      <w:r w:rsidRPr="001A1C37">
        <w:t xml:space="preserve">ser med </w:t>
      </w:r>
      <w:proofErr w:type="spellStart"/>
      <w:r w:rsidRPr="001A1C37">
        <w:t>Naalakkersuisuts</w:t>
      </w:r>
      <w:proofErr w:type="spellEnd"/>
      <w:r w:rsidRPr="001A1C37">
        <w:t xml:space="preserve"> øvrige strategier på området.</w:t>
      </w:r>
    </w:p>
    <w:p w:rsidR="00A07506" w:rsidRDefault="00A07506" w:rsidP="00A07506">
      <w:pPr>
        <w:pStyle w:val="Listeafsnit"/>
        <w:numPr>
          <w:ilvl w:val="0"/>
          <w:numId w:val="31"/>
        </w:numPr>
        <w:tabs>
          <w:tab w:val="clear" w:pos="284"/>
        </w:tabs>
      </w:pPr>
      <w:r w:rsidRPr="001A1C37">
        <w:t>At der sikres en løbende monitorering og evaluering af indsatsen på hele førskoleområdet til brug for et kontinuerligt udviklingsarbejde på førskoleområdet.</w:t>
      </w:r>
    </w:p>
    <w:p w:rsidR="00A07506" w:rsidRDefault="00A07506" w:rsidP="00A07506"/>
    <w:p w:rsidR="00A07506" w:rsidRDefault="00A07506" w:rsidP="00A07506">
      <w:r w:rsidRPr="003D1E92">
        <w:t>For at sikre den løbende kontrol, opfølgning og koordinering af implementeringen og udmøntningen af alle St</w:t>
      </w:r>
      <w:r>
        <w:t xml:space="preserve">rategi- og handleplanens fokus- </w:t>
      </w:r>
      <w:r w:rsidRPr="003D1E92">
        <w:t>og indsatsområder, og for at sikre input til den overordnede styregruppes møder og til afholdelse af regelmæssige statusorienterende møder er der nedsat en følgegruppe bestående af en række faglige organisationer, fagpersoner, uddannelsesinstitutioner, departementer m.v.</w:t>
      </w:r>
    </w:p>
    <w:p w:rsidR="00A07506" w:rsidRDefault="00A07506" w:rsidP="00A07506"/>
    <w:p w:rsidR="00A07506" w:rsidRPr="000F163A" w:rsidRDefault="00A07506" w:rsidP="00A07506">
      <w:r w:rsidRPr="000F163A">
        <w:t>Følgegruppe</w:t>
      </w:r>
      <w:r>
        <w:t xml:space="preserve">n </w:t>
      </w:r>
      <w:r w:rsidRPr="000F163A">
        <w:t>er med til at komme med forslag til indholdet af Strategi- og handleplanen, udgør samtidig en</w:t>
      </w:r>
    </w:p>
    <w:p w:rsidR="00A07506" w:rsidRPr="000F163A" w:rsidRDefault="00A07506" w:rsidP="00A07506">
      <w:r w:rsidRPr="000F163A">
        <w:t>planlæggende følgegruppe til sikring af:</w:t>
      </w:r>
    </w:p>
    <w:p w:rsidR="00A07506" w:rsidRPr="00C3687C" w:rsidRDefault="00A07506" w:rsidP="00A07506">
      <w:pPr>
        <w:pStyle w:val="Listeafsnit"/>
        <w:numPr>
          <w:ilvl w:val="0"/>
          <w:numId w:val="32"/>
        </w:numPr>
        <w:tabs>
          <w:tab w:val="clear" w:pos="284"/>
        </w:tabs>
      </w:pPr>
      <w:r w:rsidRPr="00C3687C">
        <w:t>Den løbende kontrol, opfølgning og koordinering af implementeringen og udmøntningen af alle Strategi- og handleplanens fokus -og indsatsområder.</w:t>
      </w:r>
    </w:p>
    <w:p w:rsidR="00A07506" w:rsidRPr="00C3687C" w:rsidRDefault="00A07506" w:rsidP="00A07506">
      <w:pPr>
        <w:pStyle w:val="Listeafsnit"/>
        <w:numPr>
          <w:ilvl w:val="0"/>
          <w:numId w:val="32"/>
        </w:numPr>
        <w:tabs>
          <w:tab w:val="clear" w:pos="284"/>
        </w:tabs>
      </w:pPr>
      <w:r w:rsidRPr="00C3687C">
        <w:t>Input til den overordnede styregruppes møder.</w:t>
      </w:r>
    </w:p>
    <w:p w:rsidR="00A07506" w:rsidRDefault="00A07506" w:rsidP="00A07506">
      <w:pPr>
        <w:pStyle w:val="Listeafsnit"/>
        <w:numPr>
          <w:ilvl w:val="0"/>
          <w:numId w:val="32"/>
        </w:numPr>
        <w:tabs>
          <w:tab w:val="clear" w:pos="284"/>
        </w:tabs>
      </w:pPr>
      <w:r w:rsidRPr="00C3687C">
        <w:t>Afholdelse af regelmæssige statusorienterende møder.</w:t>
      </w:r>
    </w:p>
    <w:p w:rsidR="00A07506" w:rsidRPr="00C3687C" w:rsidRDefault="00A07506" w:rsidP="00A07506">
      <w:pPr>
        <w:pStyle w:val="Listeafsnit"/>
      </w:pPr>
    </w:p>
    <w:p w:rsidR="00A07506" w:rsidRPr="000F163A" w:rsidRDefault="00A07506" w:rsidP="00A07506">
      <w:r w:rsidRPr="000F163A">
        <w:t>Følgegruppen afholder som minimum et møde årligt, som kan afholdes i forlængelse af det årlige</w:t>
      </w:r>
    </w:p>
    <w:p w:rsidR="00A07506" w:rsidRPr="003D1E92" w:rsidRDefault="00A07506" w:rsidP="00A07506">
      <w:r w:rsidRPr="000F163A">
        <w:t>møde mellem de kommunale fagchefer og Styrelsen for Uddannelse.</w:t>
      </w:r>
    </w:p>
    <w:p w:rsidR="00A07506" w:rsidRPr="008D25FA" w:rsidRDefault="00A07506" w:rsidP="00A07506"/>
    <w:p w:rsidR="00A07506" w:rsidRPr="008D25FA" w:rsidRDefault="00A07506" w:rsidP="00A07506">
      <w:pPr>
        <w:rPr>
          <w:u w:val="single"/>
        </w:rPr>
      </w:pPr>
      <w:r w:rsidRPr="008D25FA">
        <w:rPr>
          <w:u w:val="single"/>
        </w:rPr>
        <w:t xml:space="preserve">Regelgrundlag </w:t>
      </w:r>
    </w:p>
    <w:p w:rsidR="00A07506" w:rsidRPr="008D25FA" w:rsidRDefault="00A07506" w:rsidP="00A07506">
      <w:proofErr w:type="spellStart"/>
      <w:r w:rsidRPr="007F1631">
        <w:t>Inatsisartutlov</w:t>
      </w:r>
      <w:proofErr w:type="spellEnd"/>
      <w:r w:rsidRPr="007F1631">
        <w:t xml:space="preserve"> nr. 16 af 3. december 2012 om pædagogisk udviklende tilbud til børn i førskolealderen.</w:t>
      </w:r>
    </w:p>
    <w:p w:rsidR="00A07506" w:rsidRPr="008D25FA" w:rsidRDefault="00A07506" w:rsidP="00A07506"/>
    <w:p w:rsidR="00A07506" w:rsidRPr="008D25FA" w:rsidRDefault="00A07506" w:rsidP="00A07506">
      <w:pPr>
        <w:rPr>
          <w:u w:val="single"/>
        </w:rPr>
      </w:pPr>
      <w:r w:rsidRPr="008D25FA">
        <w:rPr>
          <w:u w:val="single"/>
        </w:rPr>
        <w:t>Faktiske forhold</w:t>
      </w:r>
    </w:p>
    <w:p w:rsidR="00A07506" w:rsidRDefault="00A07506" w:rsidP="00A07506">
      <w:r w:rsidRPr="00785890">
        <w:t xml:space="preserve">Med baggrund i, at det endnu er for tidligt at vurdere effekten af alle indsatsområder i Strategi- og handleplanen, </w:t>
      </w:r>
      <w:r>
        <w:t>havde</w:t>
      </w:r>
      <w:r w:rsidRPr="00785890">
        <w:t xml:space="preserve"> Uddannelsesstyrelsen</w:t>
      </w:r>
      <w:r>
        <w:t xml:space="preserve"> </w:t>
      </w:r>
      <w:r w:rsidRPr="00785890">
        <w:t>opdel</w:t>
      </w:r>
      <w:r>
        <w:t>t mødet i 2 hovedområder: Status på arbejdet med efterfølgende w</w:t>
      </w:r>
      <w:r w:rsidRPr="00785890">
        <w:t>orkshops bl.a. ud fra fremlæggelse</w:t>
      </w:r>
      <w:r>
        <w:t>rne om status</w:t>
      </w:r>
      <w:r w:rsidRPr="00785890">
        <w:t>.</w:t>
      </w:r>
    </w:p>
    <w:p w:rsidR="00A07506" w:rsidRDefault="00A07506" w:rsidP="00A07506"/>
    <w:p w:rsidR="00A07506" w:rsidRDefault="00A07506" w:rsidP="00A07506">
      <w:r>
        <w:t xml:space="preserve">Der var MANGE spændende oplæg om status på indsatsområderne i strategi- og handleplanen. </w:t>
      </w:r>
    </w:p>
    <w:p w:rsidR="00A07506" w:rsidRDefault="00A07506" w:rsidP="00A07506"/>
    <w:p w:rsidR="00A07506" w:rsidRDefault="00A07506" w:rsidP="00A07506">
      <w:r w:rsidRPr="003A22D2">
        <w:t>Der er stor spredning i personers alder, når de færdiggør pædagoguddannelsen. Halvdelen af de nyuddannede pædagoger er 29 år eller yngre, når de afslutter deres uddannelse, mens 24 pct. er over 37 år. Analysen viser endvidere, at 37 pct. af pædagogerne også har gennemført en anden pædagogisk uddannelse inden starter på pædagoguddannelsen. For godt halvdelen af disse går der 6 år eller mere mellem gennemførsel af den pædagogiske uddannelse og påbegyndelse af pædagoguddannelsen.</w:t>
      </w:r>
    </w:p>
    <w:p w:rsidR="00A07506" w:rsidRDefault="00A07506" w:rsidP="00A07506"/>
    <w:p w:rsidR="00A07506" w:rsidRPr="003A22D2" w:rsidRDefault="00A07506" w:rsidP="00A07506">
      <w:r w:rsidRPr="003A22D2">
        <w:t>For dem, som både har en gennemført pædagoguddannelse og</w:t>
      </w:r>
      <w:r>
        <w:t xml:space="preserve"> en gennemført pædagogisk uddan</w:t>
      </w:r>
      <w:r w:rsidRPr="003A22D2">
        <w:t>nelse i bagagen, går der gennemsnitligt 11 år, fra de første gan</w:t>
      </w:r>
      <w:r>
        <w:t>g starter på den pædagogiske ud</w:t>
      </w:r>
      <w:r w:rsidRPr="003A22D2">
        <w:t>dannelse, til de gennemfører pædagoguddannelsen. Det er ca. to år længere end gennemsnittet på tværs af alle pædagoguddannede og pædagogisk uddannede. 48 pct. er mellem 17 og 22 år, når de første gang starter på en pædagogisk uddannelse. Mindst 17 procent afbryder den pædagogiske uddannelse, hvorefter mange efterfølgende starter på en ny pædagogisk uddannelse.</w:t>
      </w:r>
    </w:p>
    <w:p w:rsidR="00A07506" w:rsidRDefault="00A07506" w:rsidP="00A07506">
      <w:r w:rsidRPr="003A22D2">
        <w:t>Analysen viser endvidere, at den direkte overgang til en pædagog</w:t>
      </w:r>
      <w:r>
        <w:t>isk uddannelse til pædagoguddan</w:t>
      </w:r>
      <w:r w:rsidRPr="003A22D2">
        <w:t>nelsen er 11 pct. 41 pct. overgår til pædagoguddannelsen inden for 6 år efter afsluttet pædagogisk uddannelse, mens 48 pct. er ude af uddannelsessystemet i 6 år elle</w:t>
      </w:r>
      <w:r>
        <w:t>r længere, før de starter på pæ</w:t>
      </w:r>
      <w:r w:rsidRPr="003A22D2">
        <w:t>dagoguddannelsen.</w:t>
      </w:r>
    </w:p>
    <w:p w:rsidR="00A07506" w:rsidRDefault="00A07506" w:rsidP="00A07506"/>
    <w:p w:rsidR="00A07506" w:rsidRDefault="00A07506" w:rsidP="00A07506">
      <w:r w:rsidRPr="00BF7AA0">
        <w:t>Ledigheden for pædagoger er meget tæt på nul. Analysen indikerer en høj jobudskiftning. En pædagog er således i gennemsnit 2 år i en stilling. Ledighedsforløb for pædagoger er i gennemsnit 2 måneder, som kan dække over den periode, det tager at etablere et</w:t>
      </w:r>
      <w:r>
        <w:t xml:space="preserve"> jobskifte</w:t>
      </w:r>
      <w:r w:rsidRPr="00BF7AA0">
        <w:t>.</w:t>
      </w:r>
    </w:p>
    <w:p w:rsidR="00A07506" w:rsidRDefault="00A07506" w:rsidP="00A07506"/>
    <w:p w:rsidR="00A07506" w:rsidRDefault="00A07506" w:rsidP="00A07506">
      <w:r w:rsidRPr="00363C3B">
        <w:rPr>
          <w:noProof/>
        </w:rPr>
        <w:drawing>
          <wp:inline distT="0" distB="0" distL="0" distR="0" wp14:anchorId="15CCFEDC" wp14:editId="7459F584">
            <wp:extent cx="5963478" cy="315326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138" t="7210" r="3396" b="4864"/>
                    <a:stretch/>
                  </pic:blipFill>
                  <pic:spPr bwMode="auto">
                    <a:xfrm>
                      <a:off x="0" y="0"/>
                      <a:ext cx="5974400" cy="3159038"/>
                    </a:xfrm>
                    <a:prstGeom prst="rect">
                      <a:avLst/>
                    </a:prstGeom>
                    <a:noFill/>
                    <a:ln>
                      <a:noFill/>
                    </a:ln>
                    <a:extLst>
                      <a:ext uri="{53640926-AAD7-44D8-BBD7-CCE9431645EC}">
                        <a14:shadowObscured xmlns:a14="http://schemas.microsoft.com/office/drawing/2010/main"/>
                      </a:ext>
                    </a:extLst>
                  </pic:spPr>
                </pic:pic>
              </a:graphicData>
            </a:graphic>
          </wp:inline>
        </w:drawing>
      </w:r>
    </w:p>
    <w:p w:rsidR="00A07506" w:rsidRDefault="00A07506" w:rsidP="00A07506"/>
    <w:p w:rsidR="00A07506" w:rsidRDefault="00A07506" w:rsidP="00A07506">
      <w:r w:rsidRPr="00646BCC">
        <w:t xml:space="preserve">Institutionernes evne til at leve op til landstingsforordningens § 20 kan undersøges ved at udregne den såkaldte dækningsgrad. Lever daginstitutionerne op til lovkravet om 1 pædagog pr. </w:t>
      </w:r>
      <w:proofErr w:type="spellStart"/>
      <w:r w:rsidRPr="00646BCC">
        <w:t>børnegrup-pe</w:t>
      </w:r>
      <w:proofErr w:type="spellEnd"/>
      <w:r w:rsidRPr="00646BCC">
        <w:t>, vil dækningsgraden være 100 pct. Hvis de ikke gør, vil tallet være under 100 pct.</w:t>
      </w:r>
    </w:p>
    <w:p w:rsidR="00A07506" w:rsidRDefault="00A07506" w:rsidP="00A07506">
      <w:r>
        <w:t>H</w:t>
      </w:r>
      <w:r w:rsidRPr="00646BCC">
        <w:t xml:space="preserve">istorisk set har </w:t>
      </w:r>
      <w:r>
        <w:t xml:space="preserve">der </w:t>
      </w:r>
      <w:r w:rsidRPr="00646BCC">
        <w:t>været udfordringer med at overholde forordningens bestemmelser for særligt pædagoger. Fra 2013 til 2017 faldt dækningsgraden for pædagoger fra 61% til 49%. Med andre ord var hver anden normerede pædagogstilling besat i 2017. Her manglede der ca. 100 pædagoger for at nå en pædagogdækning på 100 pct. Pædagogdækningen er væsentlig højere i byerne end i bygderne.</w:t>
      </w:r>
    </w:p>
    <w:p w:rsidR="00A07506" w:rsidRDefault="00A07506" w:rsidP="00A07506">
      <w:r w:rsidRPr="00646BCC">
        <w:t>Ser man på lederdækningen, er den i hele Grønland 80 pct. Med andre ord er 20 pct. af lederne på institutionerne ikke uddannet pædagog eller har kompetencer, der kan sidestilles hermed. Lederdækningen er væsentlig højere i byerne end i bygderne. I byerne er lederdækningen 85 pct., mens den er 33</w:t>
      </w:r>
      <w:r>
        <w:t xml:space="preserve"> pct. i bygderne</w:t>
      </w:r>
      <w:r w:rsidRPr="00646BCC">
        <w:t>. De steder, hvor man ha</w:t>
      </w:r>
      <w:r>
        <w:t>r svært ved at tiltrække pædago</w:t>
      </w:r>
      <w:r w:rsidRPr="00646BCC">
        <w:t>ger som ledere, har man også svært ved at tiltrække dem t</w:t>
      </w:r>
      <w:r>
        <w:t>il andre stillinger og omvendt.</w:t>
      </w:r>
    </w:p>
    <w:p w:rsidR="00A07506" w:rsidRDefault="00A07506" w:rsidP="00A07506">
      <w:r w:rsidRPr="00646BCC">
        <w:t>Dækningsgraden for andet pædagogisk personale var både i byer</w:t>
      </w:r>
      <w:r>
        <w:t xml:space="preserve"> og bygder over 100 pct. Med an</w:t>
      </w:r>
      <w:r w:rsidRPr="00646BCC">
        <w:t>dre ord er der ansat mere pædagogisk personale, end der er normeret i landstingsloven. Det indikerer, at manglen på pædagoger søges opvejet ved at hyre flere med anden uddannelsesbaggrund. Dette bekræftes af fagchefer på området</w:t>
      </w:r>
      <w:r>
        <w:t>.</w:t>
      </w:r>
    </w:p>
    <w:p w:rsidR="00A07506" w:rsidRDefault="00A07506" w:rsidP="00A07506">
      <w:r w:rsidRPr="00DF6971">
        <w:rPr>
          <w:noProof/>
        </w:rPr>
        <w:drawing>
          <wp:inline distT="0" distB="0" distL="0" distR="0" wp14:anchorId="3A2CC09D" wp14:editId="61E62405">
            <wp:extent cx="6114553" cy="285948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063" t="7349" r="2882" b="14477"/>
                    <a:stretch/>
                  </pic:blipFill>
                  <pic:spPr bwMode="auto">
                    <a:xfrm>
                      <a:off x="0" y="0"/>
                      <a:ext cx="6128812" cy="2866152"/>
                    </a:xfrm>
                    <a:prstGeom prst="rect">
                      <a:avLst/>
                    </a:prstGeom>
                    <a:noFill/>
                    <a:ln>
                      <a:noFill/>
                    </a:ln>
                    <a:extLst>
                      <a:ext uri="{53640926-AAD7-44D8-BBD7-CCE9431645EC}">
                        <a14:shadowObscured xmlns:a14="http://schemas.microsoft.com/office/drawing/2010/main"/>
                      </a:ext>
                    </a:extLst>
                  </pic:spPr>
                </pic:pic>
              </a:graphicData>
            </a:graphic>
          </wp:inline>
        </w:drawing>
      </w:r>
    </w:p>
    <w:p w:rsidR="00A07506" w:rsidRDefault="00A07506" w:rsidP="00A07506"/>
    <w:p w:rsidR="00A07506" w:rsidRDefault="00A07506" w:rsidP="00A07506">
      <w:r w:rsidRPr="00C42778">
        <w:t>En pædagog kan forvente at tjene ca. 100.000 kroner mere årligt i bruttoløn end en pædagogisk uddannet. En pædagog, der arbejder i en døgninstitution, kan forvente at tjene 175.000 kroner mere end pædagoger på daginstitutioner. For skoler er dette tal 85.000 kroner. Særligt for daginstitutioner indikerer analyser, at lønnen kun i ringe grad afhænger af personens anciennitet. På skoler og døgninstitutioner får man omvendt mere i løn, jo højere anciennitet, man har. Pædagoger vurderer også selv, at de får mindre i både grundløn og i tillæg på daginstitutionerne end på døgninstitutioner. Ifølge interviews med fagcheferne er utilfredshed med lønnen en vigtig årsag til, at pædagoger søger jobs i skoler og døgninstitutioner frem for i en daginstitution.</w:t>
      </w:r>
    </w:p>
    <w:p w:rsidR="00A07506" w:rsidRDefault="00A07506" w:rsidP="00A07506"/>
    <w:p w:rsidR="00A07506" w:rsidRDefault="00A07506" w:rsidP="00A07506">
      <w:r w:rsidRPr="00097F68">
        <w:rPr>
          <w:noProof/>
        </w:rPr>
        <w:lastRenderedPageBreak/>
        <w:drawing>
          <wp:inline distT="0" distB="0" distL="0" distR="0" wp14:anchorId="5500BD9D" wp14:editId="18771C29">
            <wp:extent cx="6120130" cy="3066966"/>
            <wp:effectExtent l="0" t="0" r="0" b="635"/>
            <wp:docPr id="47" name="Bille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699" t="5702" r="3209" b="11176"/>
                    <a:stretch/>
                  </pic:blipFill>
                  <pic:spPr bwMode="auto">
                    <a:xfrm>
                      <a:off x="0" y="0"/>
                      <a:ext cx="6120130" cy="3066966"/>
                    </a:xfrm>
                    <a:prstGeom prst="rect">
                      <a:avLst/>
                    </a:prstGeom>
                    <a:noFill/>
                    <a:ln>
                      <a:noFill/>
                    </a:ln>
                    <a:extLst>
                      <a:ext uri="{53640926-AAD7-44D8-BBD7-CCE9431645EC}">
                        <a14:shadowObscured xmlns:a14="http://schemas.microsoft.com/office/drawing/2010/main"/>
                      </a:ext>
                    </a:extLst>
                  </pic:spPr>
                </pic:pic>
              </a:graphicData>
            </a:graphic>
          </wp:inline>
        </w:drawing>
      </w:r>
    </w:p>
    <w:p w:rsidR="00A07506" w:rsidRPr="008D25FA" w:rsidRDefault="00A07506" w:rsidP="00A07506"/>
    <w:p w:rsidR="00A07506" w:rsidRPr="008D25FA" w:rsidRDefault="00A07506" w:rsidP="00A07506">
      <w:pPr>
        <w:rPr>
          <w:u w:val="single"/>
        </w:rPr>
      </w:pPr>
      <w:r w:rsidRPr="008D25FA">
        <w:rPr>
          <w:u w:val="single"/>
        </w:rPr>
        <w:t>Bæredygtige konsekvenser</w:t>
      </w:r>
    </w:p>
    <w:p w:rsidR="00A07506" w:rsidRDefault="00A07506" w:rsidP="00A07506">
      <w:r w:rsidRPr="00E47C6A">
        <w:t>Det pædagogiske personale udfører et stort arbejde, ikke alene på daginstitutioner</w:t>
      </w:r>
      <w:r>
        <w:t>ne</w:t>
      </w:r>
      <w:r w:rsidRPr="00E47C6A">
        <w:t>, men spredt</w:t>
      </w:r>
      <w:r>
        <w:t xml:space="preserve"> </w:t>
      </w:r>
      <w:r w:rsidRPr="00E47C6A">
        <w:t>ud på mange forskellige institutionstyper. Derfor vil strategi- og handleplanen også have</w:t>
      </w:r>
      <w:r>
        <w:t xml:space="preserve"> </w:t>
      </w:r>
      <w:r w:rsidRPr="00E47C6A">
        <w:t>følgevirkninger på andre områder, hvor der er ansat pædagogisk personale.</w:t>
      </w:r>
    </w:p>
    <w:p w:rsidR="00A07506" w:rsidRDefault="00A07506" w:rsidP="00A07506"/>
    <w:p w:rsidR="00A07506" w:rsidRPr="008D25FA" w:rsidRDefault="00A07506" w:rsidP="00A07506">
      <w:r>
        <w:t xml:space="preserve">Strategiplanens vision er </w:t>
      </w:r>
      <w:r w:rsidRPr="00E104C9">
        <w:t>At udvikle børn og unge, som er trygge, selvsikre og som udviser respekt for</w:t>
      </w:r>
      <w:r>
        <w:t xml:space="preserve"> </w:t>
      </w:r>
      <w:r w:rsidRPr="00E104C9">
        <w:t>hinanden, er mentalt</w:t>
      </w:r>
      <w:r>
        <w:t xml:space="preserve"> </w:t>
      </w:r>
      <w:r w:rsidRPr="00E104C9">
        <w:t>og fysisk sunde og er stolte af deres identitet og kultur.</w:t>
      </w:r>
      <w:r>
        <w:t xml:space="preserve"> Missionen er at sikre flere </w:t>
      </w:r>
      <w:r w:rsidRPr="00E104C9">
        <w:t>uddannede pædagoger samt fastholde og opkvalificere det eksisterende</w:t>
      </w:r>
      <w:r>
        <w:t xml:space="preserve"> </w:t>
      </w:r>
      <w:r w:rsidRPr="00E104C9">
        <w:t>personale på daginstitutionerne, som skal danne grundlaget for effektive og sammenhængende</w:t>
      </w:r>
      <w:r>
        <w:t xml:space="preserve"> </w:t>
      </w:r>
      <w:r w:rsidRPr="00E104C9">
        <w:t>indsatser, som bidrager til at sikre en stabil og veluddannet medarbejderstab i alle landets</w:t>
      </w:r>
      <w:r>
        <w:t xml:space="preserve"> </w:t>
      </w:r>
      <w:r w:rsidRPr="00E104C9">
        <w:t>daginstitutioner.</w:t>
      </w:r>
    </w:p>
    <w:p w:rsidR="00A07506" w:rsidRPr="008D25FA" w:rsidRDefault="00A07506" w:rsidP="00A07506"/>
    <w:p w:rsidR="00A07506" w:rsidRPr="008D25FA" w:rsidRDefault="00A07506" w:rsidP="00A07506">
      <w:pPr>
        <w:rPr>
          <w:u w:val="single"/>
        </w:rPr>
      </w:pPr>
      <w:r w:rsidRPr="008D25FA">
        <w:rPr>
          <w:u w:val="single"/>
        </w:rPr>
        <w:t>Økonomiske og administrative konsekvenser</w:t>
      </w:r>
    </w:p>
    <w:p w:rsidR="00A07506" w:rsidRPr="008D25FA" w:rsidRDefault="00A07506" w:rsidP="00A07506">
      <w:r>
        <w:t>Deltagelse ved følgegruppemødet blev betalt af Departement for Uddannelse, Kultur og Kirke. Qeqqata Kommunia har kun afholdt udgifter i forbindelse med udbetaling af dagpenge til deltagerne fra kommunen.</w:t>
      </w:r>
    </w:p>
    <w:p w:rsidR="00A07506" w:rsidRPr="008D25FA" w:rsidRDefault="00A07506" w:rsidP="00A07506"/>
    <w:p w:rsidR="00A07506" w:rsidRPr="008D25FA" w:rsidRDefault="00A07506" w:rsidP="00A07506">
      <w:pPr>
        <w:rPr>
          <w:u w:val="single"/>
        </w:rPr>
      </w:pPr>
      <w:r w:rsidRPr="008D25FA">
        <w:rPr>
          <w:u w:val="single"/>
        </w:rPr>
        <w:t>Administrationens vurdering</w:t>
      </w:r>
    </w:p>
    <w:p w:rsidR="00A07506" w:rsidRDefault="00A07506" w:rsidP="00A07506">
      <w:r>
        <w:t xml:space="preserve">Følgegruppemødets form, hvor der blev vekslet mellem oplæg og arbejdsgruppearbejde med deltagerne var meget udbytterigt. Deltagerne fik et godt indblik i status på implementeringen af </w:t>
      </w:r>
      <w:proofErr w:type="spellStart"/>
      <w:r>
        <w:t>Naalakkersuisuts</w:t>
      </w:r>
      <w:proofErr w:type="spellEnd"/>
      <w:r>
        <w:t xml:space="preserve"> strategi og handleplan. Kommunerne kom med i dialogen og fik mulighed for at aflevere egne bud på det fortsatte arbejde.</w:t>
      </w:r>
    </w:p>
    <w:p w:rsidR="00A07506" w:rsidRDefault="00A07506" w:rsidP="00A07506"/>
    <w:p w:rsidR="00A07506" w:rsidRPr="008D25FA" w:rsidRDefault="00A07506" w:rsidP="00A07506">
      <w:r w:rsidRPr="00563D15">
        <w:t>Uddannelsesstyrelsen</w:t>
      </w:r>
      <w:r>
        <w:t xml:space="preserve"> hos</w:t>
      </w:r>
      <w:r w:rsidRPr="00563D15">
        <w:t xml:space="preserve"> Departementet for Uddannelse, Kultur og Kirke</w:t>
      </w:r>
      <w:r>
        <w:t xml:space="preserve"> har sendt f</w:t>
      </w:r>
      <w:r w:rsidRPr="00563D15">
        <w:t xml:space="preserve">orslag til: Tillæg til </w:t>
      </w:r>
      <w:proofErr w:type="spellStart"/>
      <w:r w:rsidRPr="00563D15">
        <w:t>Naalakkersuisuts</w:t>
      </w:r>
      <w:proofErr w:type="spellEnd"/>
      <w:r w:rsidRPr="00563D15">
        <w:t xml:space="preserve"> Strategi- og handleplan for fagpersonalet på daginstitutionerne</w:t>
      </w:r>
      <w:r>
        <w:t xml:space="preserve"> </w:t>
      </w:r>
      <w:r w:rsidRPr="00A51ED4">
        <w:t>– oktober 2019</w:t>
      </w:r>
      <w:r>
        <w:t>,</w:t>
      </w:r>
      <w:r w:rsidRPr="00563D15">
        <w:t xml:space="preserve"> </w:t>
      </w:r>
      <w:r>
        <w:t xml:space="preserve">med høringsfristen </w:t>
      </w:r>
      <w:r w:rsidRPr="00563D15">
        <w:t>29. oktober 2019</w:t>
      </w:r>
      <w:r>
        <w:t xml:space="preserve">. Formanden for Udvalg for Uddannelse har underskrevet Qeqqata </w:t>
      </w:r>
      <w:proofErr w:type="spellStart"/>
      <w:r>
        <w:t>Kommunias</w:t>
      </w:r>
      <w:proofErr w:type="spellEnd"/>
      <w:r>
        <w:t xml:space="preserve"> høringssvar, der er er med som et andet punkt i dette møde som orienteringen om formandens godkendelse af høringssvar.</w:t>
      </w:r>
    </w:p>
    <w:p w:rsidR="00A07506" w:rsidRPr="008D25FA" w:rsidRDefault="00A07506" w:rsidP="00A07506"/>
    <w:p w:rsidR="00A07506" w:rsidRPr="008D25FA" w:rsidRDefault="00A07506" w:rsidP="00A07506">
      <w:pPr>
        <w:rPr>
          <w:b/>
        </w:rPr>
      </w:pPr>
      <w:r w:rsidRPr="008D25FA">
        <w:rPr>
          <w:b/>
        </w:rPr>
        <w:t>Indstilling</w:t>
      </w:r>
    </w:p>
    <w:p w:rsidR="00A07506" w:rsidRPr="008D25FA" w:rsidRDefault="00A07506" w:rsidP="00A07506">
      <w:r w:rsidRPr="008D25FA">
        <w:t xml:space="preserve">Sagen forelægges til </w:t>
      </w:r>
      <w:r>
        <w:t>Udvalg for Uddannelse til orientering.</w:t>
      </w:r>
    </w:p>
    <w:p w:rsidR="00A07506" w:rsidRPr="008D25FA" w:rsidRDefault="00A07506" w:rsidP="00A07506"/>
    <w:p w:rsidR="00A07506" w:rsidRPr="008D25FA" w:rsidRDefault="00A07506" w:rsidP="00A07506"/>
    <w:p w:rsidR="00A07506" w:rsidRPr="008D25FA" w:rsidRDefault="00A07506" w:rsidP="00A07506">
      <w:pPr>
        <w:rPr>
          <w:b/>
        </w:rPr>
      </w:pPr>
      <w:r w:rsidRPr="008D25FA">
        <w:rPr>
          <w:b/>
        </w:rPr>
        <w:t>Afgørelse</w:t>
      </w:r>
    </w:p>
    <w:p w:rsidR="00A07506" w:rsidRDefault="00A07506" w:rsidP="00A07506"/>
    <w:p w:rsidR="00AA07A2" w:rsidRPr="00AA07A2" w:rsidRDefault="00AA07A2" w:rsidP="00A07506">
      <w:r w:rsidRPr="00AA07A2">
        <w:rPr>
          <w:bCs/>
        </w:rPr>
        <w:t>Taget til efterretning.</w:t>
      </w:r>
    </w:p>
    <w:p w:rsidR="00AA07A2" w:rsidRPr="008D25FA" w:rsidRDefault="00AA07A2" w:rsidP="00A07506"/>
    <w:p w:rsidR="00A07506" w:rsidRPr="008D25FA" w:rsidRDefault="00A07506" w:rsidP="00A07506">
      <w:pPr>
        <w:rPr>
          <w:bCs/>
        </w:rPr>
      </w:pPr>
    </w:p>
    <w:p w:rsidR="00A07506" w:rsidRPr="008D25FA" w:rsidRDefault="00A07506" w:rsidP="00A07506">
      <w:pPr>
        <w:rPr>
          <w:b/>
        </w:rPr>
      </w:pPr>
      <w:r w:rsidRPr="008D25FA">
        <w:rPr>
          <w:b/>
        </w:rPr>
        <w:t>Bilag</w:t>
      </w:r>
    </w:p>
    <w:p w:rsidR="00A07506" w:rsidRPr="00EB5AB3" w:rsidRDefault="00A07506" w:rsidP="00A07506">
      <w:pPr>
        <w:numPr>
          <w:ilvl w:val="0"/>
          <w:numId w:val="2"/>
        </w:numPr>
        <w:tabs>
          <w:tab w:val="clear" w:pos="284"/>
        </w:tabs>
      </w:pPr>
      <w:r>
        <w:rPr>
          <w:bCs/>
        </w:rPr>
        <w:t>Dagsorden til følgegruppemøde 26.09.19</w:t>
      </w:r>
    </w:p>
    <w:p w:rsidR="00A07506" w:rsidRPr="00EB5AB3" w:rsidRDefault="00A07506" w:rsidP="00A07506">
      <w:pPr>
        <w:numPr>
          <w:ilvl w:val="0"/>
          <w:numId w:val="2"/>
        </w:numPr>
        <w:tabs>
          <w:tab w:val="clear" w:pos="284"/>
        </w:tabs>
      </w:pPr>
      <w:r>
        <w:rPr>
          <w:bCs/>
        </w:rPr>
        <w:t xml:space="preserve">Rapport fra </w:t>
      </w:r>
      <w:proofErr w:type="spellStart"/>
      <w:r>
        <w:rPr>
          <w:bCs/>
        </w:rPr>
        <w:t>Epionion</w:t>
      </w:r>
      <w:proofErr w:type="spellEnd"/>
      <w:r>
        <w:rPr>
          <w:bCs/>
        </w:rPr>
        <w:t xml:space="preserve"> om ”Førskoleområdet”, udgivet </w:t>
      </w:r>
      <w:proofErr w:type="gramStart"/>
      <w:r>
        <w:rPr>
          <w:bCs/>
        </w:rPr>
        <w:t>September</w:t>
      </w:r>
      <w:proofErr w:type="gramEnd"/>
      <w:r>
        <w:rPr>
          <w:bCs/>
        </w:rPr>
        <w:t xml:space="preserve"> 2019</w:t>
      </w:r>
    </w:p>
    <w:p w:rsidR="00A07506" w:rsidRDefault="00A07506" w:rsidP="00A07506">
      <w:pPr>
        <w:numPr>
          <w:ilvl w:val="0"/>
          <w:numId w:val="2"/>
        </w:numPr>
        <w:tabs>
          <w:tab w:val="clear" w:pos="284"/>
        </w:tabs>
      </w:pPr>
      <w:r>
        <w:t xml:space="preserve">Status på arbejdet med </w:t>
      </w:r>
      <w:proofErr w:type="spellStart"/>
      <w:r>
        <w:t>Naalakkersuisuts</w:t>
      </w:r>
      <w:proofErr w:type="spellEnd"/>
      <w:r>
        <w:t xml:space="preserve"> strategi- og handleplan for fagpersonalet på daginstitutionerne pr. 20. september 2019</w:t>
      </w:r>
    </w:p>
    <w:p w:rsidR="00A07506" w:rsidRPr="00C579A2" w:rsidRDefault="00A07506" w:rsidP="00A07506">
      <w:pPr>
        <w:numPr>
          <w:ilvl w:val="0"/>
          <w:numId w:val="2"/>
        </w:numPr>
        <w:tabs>
          <w:tab w:val="clear" w:pos="284"/>
        </w:tabs>
      </w:pPr>
      <w:proofErr w:type="spellStart"/>
      <w:r w:rsidRPr="00C579A2">
        <w:t>Naalakkersuisuts</w:t>
      </w:r>
      <w:proofErr w:type="spellEnd"/>
      <w:r w:rsidRPr="00C579A2">
        <w:t xml:space="preserve"> Strategi- og handleplan for fagpersonalet på daginstitutionerne</w:t>
      </w:r>
    </w:p>
    <w:p w:rsidR="00A07506" w:rsidRDefault="00A07506" w:rsidP="00A07506">
      <w:pPr>
        <w:rPr>
          <w:bCs/>
        </w:rPr>
      </w:pPr>
    </w:p>
    <w:p w:rsidR="00A07506" w:rsidRDefault="00A07506" w:rsidP="00A07506">
      <w:pPr>
        <w:rPr>
          <w:bCs/>
        </w:rPr>
      </w:pPr>
    </w:p>
    <w:p w:rsidR="00A07506" w:rsidRPr="008C6270" w:rsidRDefault="00A07506" w:rsidP="00A07506">
      <w:pPr>
        <w:rPr>
          <w:szCs w:val="24"/>
        </w:rPr>
      </w:pPr>
    </w:p>
    <w:p w:rsidR="00A07506" w:rsidRPr="008D25FA" w:rsidRDefault="00A07506" w:rsidP="00A07506"/>
    <w:p w:rsidR="00A07506" w:rsidRPr="000161CB" w:rsidRDefault="00A07506" w:rsidP="007F1574">
      <w:pPr>
        <w:tabs>
          <w:tab w:val="clear" w:pos="284"/>
        </w:tabs>
        <w:spacing w:after="160" w:line="259" w:lineRule="auto"/>
        <w:rPr>
          <w:b/>
          <w:sz w:val="28"/>
          <w:szCs w:val="28"/>
          <w:u w:val="single"/>
        </w:rPr>
      </w:pPr>
    </w:p>
    <w:p w:rsidR="000B43A3" w:rsidRDefault="000B43A3">
      <w:pPr>
        <w:tabs>
          <w:tab w:val="clear" w:pos="284"/>
        </w:tabs>
        <w:spacing w:after="160" w:line="259" w:lineRule="auto"/>
        <w:rPr>
          <w:rFonts w:eastAsia="MS Gothic"/>
          <w:b/>
          <w:szCs w:val="24"/>
          <w:lang w:eastAsia="ja-JP"/>
        </w:rPr>
      </w:pPr>
      <w:r>
        <w:rPr>
          <w:rFonts w:eastAsia="MS Gothic"/>
          <w:b/>
          <w:szCs w:val="24"/>
          <w:lang w:eastAsia="ja-JP"/>
        </w:rPr>
        <w:br w:type="page"/>
      </w:r>
    </w:p>
    <w:p w:rsidR="00A07506" w:rsidRPr="00086FC1" w:rsidRDefault="009F5D4A" w:rsidP="00A07506">
      <w:pPr>
        <w:pStyle w:val="Overskrift1"/>
        <w:rPr>
          <w:rFonts w:ascii="Times New Roman" w:hAnsi="Times New Roman"/>
          <w:b w:val="0"/>
          <w:sz w:val="28"/>
          <w:szCs w:val="28"/>
        </w:rPr>
      </w:pPr>
      <w:r>
        <w:rPr>
          <w:rFonts w:ascii="Times New Roman" w:hAnsi="Times New Roman"/>
          <w:sz w:val="28"/>
          <w:szCs w:val="28"/>
          <w:lang w:eastAsia="ja-JP"/>
        </w:rPr>
        <w:lastRenderedPageBreak/>
        <w:softHyphen/>
        <w:t>Punkt. 11</w:t>
      </w:r>
      <w:r w:rsidR="00A07506" w:rsidRPr="00086FC1">
        <w:rPr>
          <w:rFonts w:ascii="Times New Roman" w:hAnsi="Times New Roman"/>
          <w:sz w:val="28"/>
          <w:szCs w:val="28"/>
          <w:lang w:eastAsia="ja-JP"/>
        </w:rPr>
        <w:t xml:space="preserve"> Orientering om møde i Det Nationale Erhvervs- og Arbejdsmarkedsråd 12. oktober 2019</w:t>
      </w:r>
    </w:p>
    <w:p w:rsidR="00A07506" w:rsidRPr="008D25FA" w:rsidRDefault="00A07506" w:rsidP="00A07506">
      <w:pPr>
        <w:pStyle w:val="Overskrift1"/>
        <w:rPr>
          <w:rFonts w:ascii="Times New Roman" w:hAnsi="Times New Roman"/>
          <w:i/>
          <w:sz w:val="32"/>
        </w:rPr>
      </w:pPr>
      <w:r w:rsidRPr="008D25FA">
        <w:rPr>
          <w:rFonts w:ascii="Times New Roman" w:hAnsi="Times New Roman"/>
          <w:b w:val="0"/>
          <w:i/>
          <w:sz w:val="22"/>
        </w:rPr>
        <w:t xml:space="preserve">Journal nr. </w:t>
      </w:r>
      <w:r>
        <w:rPr>
          <w:rFonts w:ascii="Times New Roman" w:hAnsi="Times New Roman"/>
          <w:b w:val="0"/>
          <w:i/>
          <w:sz w:val="22"/>
        </w:rPr>
        <w:t>67.01</w:t>
      </w:r>
    </w:p>
    <w:p w:rsidR="00A07506" w:rsidRPr="008D25FA" w:rsidRDefault="00A07506" w:rsidP="00A07506"/>
    <w:p w:rsidR="00A07506" w:rsidRPr="008D25FA" w:rsidRDefault="00A07506" w:rsidP="00A07506">
      <w:pPr>
        <w:rPr>
          <w:i/>
        </w:rPr>
      </w:pPr>
    </w:p>
    <w:p w:rsidR="00A07506" w:rsidRPr="00131FF0" w:rsidRDefault="00A07506" w:rsidP="00A07506">
      <w:pPr>
        <w:rPr>
          <w:u w:val="single"/>
        </w:rPr>
      </w:pPr>
      <w:r w:rsidRPr="008D25FA">
        <w:rPr>
          <w:u w:val="single"/>
        </w:rPr>
        <w:t>Baggrund</w:t>
      </w:r>
    </w:p>
    <w:p w:rsidR="00A07506" w:rsidRDefault="00A07506" w:rsidP="00A07506">
      <w:r w:rsidRPr="00BD6610">
        <w:t>Det Nationale Arbejdsmarkedsråd består af en bred vifte af repræsentanter fra kommuner og organisationer, der i deres daglige virke har tæt berøring med arbejdsmarkedet i bred forstand.</w:t>
      </w:r>
      <w:r>
        <w:t xml:space="preserve"> </w:t>
      </w:r>
      <w:r w:rsidRPr="00BD6610">
        <w:t>Departementet for Råstoffer og Arbejdsmarked</w:t>
      </w:r>
      <w:r>
        <w:t xml:space="preserve"> har sekretariatsfunktionen. Rådet blev nedsat i september 2013 af daværende </w:t>
      </w:r>
      <w:proofErr w:type="spellStart"/>
      <w:r w:rsidRPr="00BD6610">
        <w:t>Naalakkersuisoq</w:t>
      </w:r>
      <w:proofErr w:type="spellEnd"/>
      <w:r w:rsidRPr="00BD6610">
        <w:t xml:space="preserve"> for Erhverv og Råstoffer Jens-Erik Kirkegaard</w:t>
      </w:r>
      <w:r>
        <w:t xml:space="preserve">. Målet var at </w:t>
      </w:r>
      <w:r w:rsidRPr="00BD6610">
        <w:t xml:space="preserve">udfordringer </w:t>
      </w:r>
      <w:r>
        <w:t>som a</w:t>
      </w:r>
      <w:r w:rsidRPr="00BD6610">
        <w:t>rbejdsløshed, udefrakommende arbejdskraft og revalidering</w:t>
      </w:r>
      <w:r>
        <w:t xml:space="preserve"> </w:t>
      </w:r>
      <w:r w:rsidRPr="00BD6610">
        <w:t xml:space="preserve">skal løses på tilfredsstillende vis, </w:t>
      </w:r>
      <w:r>
        <w:t xml:space="preserve">således, at der </w:t>
      </w:r>
      <w:r w:rsidRPr="00BD6610">
        <w:t>er behov for at se hele området med nye øjne</w:t>
      </w:r>
      <w:r>
        <w:t>. Rådet</w:t>
      </w:r>
      <w:r w:rsidRPr="00BD6610">
        <w:t xml:space="preserve"> </w:t>
      </w:r>
      <w:r>
        <w:t>skulle</w:t>
      </w:r>
      <w:r w:rsidRPr="00BD6610">
        <w:t xml:space="preserve"> beskæftige sig med arbejdsmarkedsrelaterede spørgsmå</w:t>
      </w:r>
      <w:r>
        <w:t>l</w:t>
      </w:r>
      <w:r w:rsidRPr="00BD6610">
        <w:t>.</w:t>
      </w:r>
      <w:r>
        <w:t xml:space="preserve"> Under møderne høres Rådet forud for fremlæggelse af nye lovgivninger, evalueringer, udvikling og udarbejdelse af strategier. Emner omkring erhvervsudvikling, råstoffer, både udenlandsk og indenlandsk arbejdskraft, beskæftigelse, set fra uddannelsesområdet, det sociale område, erhvervsområdet, fra kommunerne og fra organisationerne.</w:t>
      </w:r>
    </w:p>
    <w:p w:rsidR="00A07506" w:rsidRDefault="00A07506" w:rsidP="00A07506"/>
    <w:p w:rsidR="00A07506" w:rsidRDefault="00A07506" w:rsidP="00A07506">
      <w:r>
        <w:t>Der var møde i Rådet den 12. oktober 2019.</w:t>
      </w:r>
      <w:r w:rsidRPr="00595C88">
        <w:t xml:space="preserve"> </w:t>
      </w:r>
      <w:r w:rsidRPr="009573EB">
        <w:t xml:space="preserve">Mødet </w:t>
      </w:r>
      <w:r>
        <w:t>havde deltagelse af uddannelseschefen i Maniitsoq.</w:t>
      </w:r>
    </w:p>
    <w:p w:rsidR="00A07506" w:rsidRPr="008D25FA" w:rsidRDefault="00A07506" w:rsidP="00A07506"/>
    <w:p w:rsidR="00A07506" w:rsidRPr="008D25FA" w:rsidRDefault="00A07506" w:rsidP="00A07506">
      <w:pPr>
        <w:rPr>
          <w:u w:val="single"/>
        </w:rPr>
      </w:pPr>
      <w:r w:rsidRPr="008D25FA">
        <w:rPr>
          <w:u w:val="single"/>
        </w:rPr>
        <w:t xml:space="preserve">Regelgrundlag </w:t>
      </w:r>
    </w:p>
    <w:p w:rsidR="00A07506" w:rsidRPr="009573EB" w:rsidRDefault="00A07506" w:rsidP="00A07506">
      <w:proofErr w:type="spellStart"/>
      <w:r w:rsidRPr="009573EB">
        <w:t>Inatsisartutlov</w:t>
      </w:r>
      <w:proofErr w:type="spellEnd"/>
      <w:r w:rsidRPr="009573EB">
        <w:t xml:space="preserve"> nr. 28 af 9. december 2015 om job-, vejlednings- og opkvalificeringscentre.</w:t>
      </w:r>
    </w:p>
    <w:p w:rsidR="00A07506" w:rsidRPr="009573EB" w:rsidRDefault="00A07506" w:rsidP="00A07506">
      <w:proofErr w:type="spellStart"/>
      <w:r w:rsidRPr="009573EB">
        <w:t>Inatsisartutlov</w:t>
      </w:r>
      <w:proofErr w:type="spellEnd"/>
      <w:r w:rsidRPr="009573EB">
        <w:t xml:space="preserve"> nr. 27 af 9. december 2015 om ændring af landstingslov om regulering af arbejdskraft</w:t>
      </w:r>
      <w:r>
        <w:t>-</w:t>
      </w:r>
      <w:r w:rsidRPr="009573EB">
        <w:t>tilgangen i Grønland. (Arbejdsgivers anvendelse af jobportalen).</w:t>
      </w:r>
    </w:p>
    <w:p w:rsidR="00A07506" w:rsidRPr="009573EB" w:rsidRDefault="00A07506" w:rsidP="00A07506">
      <w:proofErr w:type="spellStart"/>
      <w:r w:rsidRPr="009573EB">
        <w:t>Inatsisartutlov</w:t>
      </w:r>
      <w:proofErr w:type="spellEnd"/>
      <w:r w:rsidRPr="009573EB">
        <w:t xml:space="preserve"> nr. 23 af 28. november 2016 om ændring af landstingslov om regulering af arbejdskraft</w:t>
      </w:r>
      <w:r>
        <w:t>-</w:t>
      </w:r>
      <w:r w:rsidRPr="009573EB">
        <w:t>tilgangen i Grønland (Anvendelse på andre uddannelseskategorier, rapportering m.v.).</w:t>
      </w:r>
    </w:p>
    <w:p w:rsidR="00A07506" w:rsidRPr="008D25FA" w:rsidRDefault="00A07506" w:rsidP="00A07506">
      <w:r w:rsidRPr="009573EB">
        <w:t xml:space="preserve">Resultatkontrakt mellem Qeqqata Kommunia og Grønlands Selvstyre om drift af </w:t>
      </w:r>
      <w:proofErr w:type="spellStart"/>
      <w:r w:rsidRPr="009573EB">
        <w:t>Majoriaq</w:t>
      </w:r>
      <w:proofErr w:type="spellEnd"/>
      <w:r w:rsidRPr="009573EB">
        <w:t xml:space="preserve"> 2018.</w:t>
      </w:r>
    </w:p>
    <w:p w:rsidR="00A07506" w:rsidRPr="008D25FA" w:rsidRDefault="00A07506" w:rsidP="00A07506"/>
    <w:p w:rsidR="00A07506" w:rsidRPr="008D25FA" w:rsidRDefault="00A07506" w:rsidP="00A07506">
      <w:pPr>
        <w:rPr>
          <w:u w:val="single"/>
        </w:rPr>
      </w:pPr>
      <w:r w:rsidRPr="008D25FA">
        <w:rPr>
          <w:u w:val="single"/>
        </w:rPr>
        <w:t>Faktiske forhold</w:t>
      </w:r>
    </w:p>
    <w:p w:rsidR="00A07506" w:rsidRPr="00A45460" w:rsidRDefault="00A07506" w:rsidP="00A07506">
      <w:r>
        <w:t xml:space="preserve">Under mødet gav </w:t>
      </w:r>
      <w:proofErr w:type="spellStart"/>
      <w:r>
        <w:t>Naalakkersuisoq</w:t>
      </w:r>
      <w:proofErr w:type="spellEnd"/>
      <w:r>
        <w:t xml:space="preserve"> for Råstoffer og Arbejdsmarked en status på siden sidst. </w:t>
      </w:r>
      <w:proofErr w:type="spellStart"/>
      <w:r>
        <w:t>Naalakkersuisoq</w:t>
      </w:r>
      <w:proofErr w:type="spellEnd"/>
      <w:r>
        <w:t xml:space="preserve"> har besøgt Nordgrønland. Bygderne ved Upernavik har indhandlet så meget fisk, at der blev hentet fabriksarbejdere fra </w:t>
      </w:r>
      <w:proofErr w:type="spellStart"/>
      <w:r>
        <w:t>Filipinerne</w:t>
      </w:r>
      <w:proofErr w:type="spellEnd"/>
      <w:r>
        <w:t xml:space="preserve">, anvendt nordjobbere og arbejdsledige fra Tasiilaq ved brug af mobilitetsfremmende ydelser. Fordi der ingen byggegrunde var til rådighed i de fleste af disse bygder, kan der ikke bygges boliger til arbejdsledige, der </w:t>
      </w:r>
      <w:r w:rsidRPr="00A45460">
        <w:t xml:space="preserve">gerne vil flytte permanent til disse bygder. Derfor blev der anvendt telte, som bruges af råstof-sektoren ved forundersøgelser. </w:t>
      </w:r>
    </w:p>
    <w:p w:rsidR="00A07506" w:rsidRDefault="00A07506" w:rsidP="00A07506">
      <w:r w:rsidRPr="00A45460">
        <w:t>Der var status på udlændingeområdet. Her blev fremlagt status på udarbejdelsen af fast-</w:t>
      </w:r>
      <w:proofErr w:type="spellStart"/>
      <w:r w:rsidRPr="00A45460">
        <w:t>track</w:t>
      </w:r>
      <w:proofErr w:type="spellEnd"/>
      <w:r w:rsidRPr="00A45460">
        <w:t xml:space="preserve"> ordning for hurtigere sagsbehandling af opholds- og ar</w:t>
      </w:r>
      <w:r>
        <w:t xml:space="preserve">bejdstilladelser. Her er meldingen, at der i første fase ikke er brug for ny lovgivning. I første fase kan der udarbejdes en aftale med </w:t>
      </w:r>
      <w:r w:rsidRPr="00A45460">
        <w:t>Styrelsen for International Rekruttering og Integration (SIRI)</w:t>
      </w:r>
      <w:r>
        <w:t xml:space="preserve">, mens lovgivningen udarbejdes. Ved ny lovgivning vil virksomhederne kunne få en godkendelse til opholds- og arbejdstilladelse, såfremt kommunerne giver tilladelse for hver sag. Det er processen efter kommunernes tilladelse der gøres nemmere, når der skal gives opholds- og </w:t>
      </w:r>
      <w:proofErr w:type="spellStart"/>
      <w:r>
        <w:t>arbejdtilladelse</w:t>
      </w:r>
      <w:proofErr w:type="spellEnd"/>
      <w:r>
        <w:t xml:space="preserve"> fra SIRI efter udvalgsgodkendelserne.</w:t>
      </w:r>
    </w:p>
    <w:p w:rsidR="00A07506" w:rsidRDefault="00A07506" w:rsidP="00A07506">
      <w:r>
        <w:t xml:space="preserve">Der var oplæg om kollegiesektorplanen, boligreformen, status på offentlig hjælp-reformen, projekt øget </w:t>
      </w:r>
      <w:proofErr w:type="spellStart"/>
      <w:r>
        <w:t>selvforsøgelse</w:t>
      </w:r>
      <w:proofErr w:type="spellEnd"/>
      <w:r>
        <w:t xml:space="preserve"> og realkompetence-uddannelse.</w:t>
      </w:r>
    </w:p>
    <w:p w:rsidR="00A07506" w:rsidRDefault="00A07506" w:rsidP="00A07506">
      <w:proofErr w:type="spellStart"/>
      <w:r>
        <w:t>Majoriaq</w:t>
      </w:r>
      <w:proofErr w:type="spellEnd"/>
      <w:r>
        <w:t xml:space="preserve"> redegørelsen blev fremlagt. Redegørelsen er udarbejdet på baggrund af </w:t>
      </w:r>
      <w:proofErr w:type="spellStart"/>
      <w:r>
        <w:t>Majoriaq</w:t>
      </w:r>
      <w:proofErr w:type="spellEnd"/>
      <w:r>
        <w:t xml:space="preserve">-centrenes egne indberetninger igennem de årlige afrapporteringer fra </w:t>
      </w:r>
      <w:proofErr w:type="spellStart"/>
      <w:r>
        <w:t>Majoriaq</w:t>
      </w:r>
      <w:proofErr w:type="spellEnd"/>
      <w:r>
        <w:t xml:space="preserve">-centrene. </w:t>
      </w:r>
      <w:r>
        <w:lastRenderedPageBreak/>
        <w:t xml:space="preserve">Redegørelsen viser, at der er mangel på lærlingepladser </w:t>
      </w:r>
      <w:proofErr w:type="gramStart"/>
      <w:r>
        <w:t>udenfor</w:t>
      </w:r>
      <w:proofErr w:type="gramEnd"/>
      <w:r>
        <w:t xml:space="preserve"> Nuuk. I Nuuk er der til gengæld mangel på lærlinge, fordi der ikke er kollegiemuligheder til lærlinge der ikke er bosiddende i Nuuk. Antallet af virksomheder, størrelsen af virksomheder og antal opgaver til virksomhederne er nemlig meget forskellige fra by til by. Omkring FA-forløbene (Folkeskolens afgangsprøve) viser redegørelsen, at kun 47 % af FA-eleverne havde handlingsplan før FA-forløb, og at ca. 43 % af FA-eleverne fortsætter direkte i uddannelse. Værkstedsforløbene ses som mulighed for de mange unge, der er gået i stå efter folkeskolen, og som er skoletrætte. Efter evalueringen af </w:t>
      </w:r>
      <w:proofErr w:type="spellStart"/>
      <w:r>
        <w:t>Majoriaq</w:t>
      </w:r>
      <w:proofErr w:type="spellEnd"/>
      <w:r>
        <w:t xml:space="preserve">, der pågår nu, er det hensigten at departementet arbejder med design af produktionsskoler á la de danske produktionsskoler. </w:t>
      </w:r>
    </w:p>
    <w:p w:rsidR="00A07506" w:rsidRDefault="00A07506" w:rsidP="00A07506">
      <w:r>
        <w:t xml:space="preserve">Alt i alt viser redegørelsen at trods standardiserede procedurer på </w:t>
      </w:r>
      <w:proofErr w:type="spellStart"/>
      <w:r>
        <w:t>Majoriaq</w:t>
      </w:r>
      <w:proofErr w:type="spellEnd"/>
      <w:r>
        <w:t xml:space="preserve"> igennem de sidste år, foregår arbejdet stadigvæk forskelligt fra center til center. For eksempel er centrenes kriterier for matchgruppering forskellige, og der udtrykkes et behov for standardisering af matchgruppering.</w:t>
      </w:r>
    </w:p>
    <w:p w:rsidR="00A07506" w:rsidRDefault="00A07506" w:rsidP="00A07506">
      <w:r>
        <w:t xml:space="preserve">Evalueringen af </w:t>
      </w:r>
      <w:proofErr w:type="spellStart"/>
      <w:r>
        <w:t>Naalakkersuisuts</w:t>
      </w:r>
      <w:proofErr w:type="spellEnd"/>
      <w:r>
        <w:t xml:space="preserve"> Beskæftigelsesstrategi 2015 blev fremlagt. Den viser at 13 ud af de 16 initiativer blev gennemført, og at strategien i perioden 2015-18 har sørget for at:</w:t>
      </w:r>
    </w:p>
    <w:p w:rsidR="00A07506" w:rsidRDefault="00A07506" w:rsidP="00A07506">
      <w:pPr>
        <w:pStyle w:val="Listeafsnit"/>
        <w:numPr>
          <w:ilvl w:val="0"/>
          <w:numId w:val="33"/>
        </w:numPr>
        <w:tabs>
          <w:tab w:val="clear" w:pos="284"/>
        </w:tabs>
      </w:pPr>
      <w:r>
        <w:t>Reducere antallet af (matchgruppe 1</w:t>
      </w:r>
      <w:proofErr w:type="gramStart"/>
      <w:r>
        <w:t>-)ledige</w:t>
      </w:r>
      <w:proofErr w:type="gramEnd"/>
      <w:r>
        <w:t xml:space="preserve"> med 335-375 personer</w:t>
      </w:r>
    </w:p>
    <w:p w:rsidR="00A07506" w:rsidRDefault="00A07506" w:rsidP="00A07506">
      <w:pPr>
        <w:pStyle w:val="Listeafsnit"/>
        <w:numPr>
          <w:ilvl w:val="0"/>
          <w:numId w:val="33"/>
        </w:numPr>
        <w:tabs>
          <w:tab w:val="clear" w:pos="284"/>
        </w:tabs>
      </w:pPr>
      <w:r>
        <w:t>Reducere antallet af registrerede arbejdssøgende med 535-585 personer.</w:t>
      </w:r>
    </w:p>
    <w:p w:rsidR="00A07506" w:rsidRDefault="00A07506" w:rsidP="00A07506">
      <w:pPr>
        <w:pStyle w:val="Listeafsnit"/>
        <w:numPr>
          <w:ilvl w:val="0"/>
          <w:numId w:val="33"/>
        </w:numPr>
        <w:tabs>
          <w:tab w:val="clear" w:pos="284"/>
        </w:tabs>
      </w:pPr>
      <w:r>
        <w:t>Øget beskæftigelsen med 295-365 personer.</w:t>
      </w:r>
    </w:p>
    <w:p w:rsidR="00A07506" w:rsidRDefault="00A07506" w:rsidP="00A07506"/>
    <w:p w:rsidR="00A07506" w:rsidRPr="009573EB" w:rsidRDefault="00A07506" w:rsidP="00A07506">
      <w:r>
        <w:t>Som afslutning på mødet blev det fremlagt, at der er en nu beskæftigelsesstrategi, der er under udarbejdelse.</w:t>
      </w:r>
    </w:p>
    <w:p w:rsidR="00A07506" w:rsidRPr="009573EB" w:rsidRDefault="00A07506" w:rsidP="00A07506"/>
    <w:p w:rsidR="00A07506" w:rsidRPr="008D25FA" w:rsidRDefault="00A07506" w:rsidP="00A07506">
      <w:pPr>
        <w:rPr>
          <w:u w:val="single"/>
        </w:rPr>
      </w:pPr>
      <w:r w:rsidRPr="008D25FA">
        <w:rPr>
          <w:u w:val="single"/>
        </w:rPr>
        <w:t>Bæredygtige konsekvenser</w:t>
      </w:r>
    </w:p>
    <w:p w:rsidR="00A07506" w:rsidRPr="008D25FA" w:rsidRDefault="00A07506" w:rsidP="00A07506">
      <w:r w:rsidRPr="00E7137D">
        <w:t xml:space="preserve">Qeqqata Kommunia får igennem deltagelse ved møderne i Det Nationale Erhvervs- og Arbejdsmarkedsråd et indblik og indflydelse på kommende lovgivning </w:t>
      </w:r>
      <w:proofErr w:type="gramStart"/>
      <w:r w:rsidRPr="00E7137D">
        <w:t>indenfor</w:t>
      </w:r>
      <w:proofErr w:type="gramEnd"/>
      <w:r w:rsidRPr="00E7137D">
        <w:t xml:space="preserve"> området.</w:t>
      </w:r>
    </w:p>
    <w:p w:rsidR="00A07506" w:rsidRPr="008D25FA" w:rsidRDefault="00A07506" w:rsidP="00A07506"/>
    <w:p w:rsidR="00A07506" w:rsidRPr="008D25FA" w:rsidRDefault="00A07506" w:rsidP="00A07506">
      <w:pPr>
        <w:rPr>
          <w:u w:val="single"/>
        </w:rPr>
      </w:pPr>
      <w:r w:rsidRPr="008D25FA">
        <w:rPr>
          <w:u w:val="single"/>
        </w:rPr>
        <w:t>Økonomiske og administrative konsekvenser</w:t>
      </w:r>
    </w:p>
    <w:p w:rsidR="00A07506" w:rsidRPr="008D25FA" w:rsidRDefault="00A07506" w:rsidP="00A07506">
      <w:r w:rsidRPr="00E7137D">
        <w:t>Mødet blev arrangeret af Departementet for Råstoffer og Arbejdsmarked der også betalte alle udgifterne ved rejse og ophold. Kommunen havde ingen udgifter i forbindelse med mødedeltagelsen.</w:t>
      </w:r>
    </w:p>
    <w:p w:rsidR="00A07506" w:rsidRPr="008D25FA" w:rsidRDefault="00A07506" w:rsidP="00A07506"/>
    <w:p w:rsidR="00A07506" w:rsidRPr="008D25FA" w:rsidRDefault="00A07506" w:rsidP="00A07506">
      <w:pPr>
        <w:rPr>
          <w:u w:val="single"/>
        </w:rPr>
      </w:pPr>
      <w:r w:rsidRPr="008D25FA">
        <w:rPr>
          <w:u w:val="single"/>
        </w:rPr>
        <w:t>Administrationens vurdering</w:t>
      </w:r>
    </w:p>
    <w:p w:rsidR="00A07506" w:rsidRPr="008D25FA" w:rsidRDefault="00A07506" w:rsidP="00A07506">
      <w:proofErr w:type="spellStart"/>
      <w:r w:rsidRPr="00E7137D">
        <w:t>Naalakkersuisoq</w:t>
      </w:r>
      <w:proofErr w:type="spellEnd"/>
      <w:r w:rsidRPr="00E7137D">
        <w:t xml:space="preserve"> for Råstoffer og Arbejdsmarked Erik Jensen lede</w:t>
      </w:r>
      <w:r>
        <w:t xml:space="preserve">r selv møderne. Næste møde forventes afholdt i begyndelsen af næste år inden </w:t>
      </w:r>
      <w:proofErr w:type="spellStart"/>
      <w:r>
        <w:t>Inatsisartut</w:t>
      </w:r>
      <w:proofErr w:type="spellEnd"/>
      <w:r>
        <w:t xml:space="preserve"> samlingen, hvor ønsket er, at kommunerne næste gang skal fremlægge mere. </w:t>
      </w:r>
    </w:p>
    <w:p w:rsidR="00A07506" w:rsidRPr="008D25FA" w:rsidRDefault="00A07506" w:rsidP="00A07506"/>
    <w:p w:rsidR="00A07506" w:rsidRPr="008D25FA" w:rsidRDefault="00A07506" w:rsidP="00A07506"/>
    <w:p w:rsidR="00A07506" w:rsidRPr="008D25FA" w:rsidRDefault="00A07506" w:rsidP="00A07506"/>
    <w:p w:rsidR="00A07506" w:rsidRPr="008D25FA" w:rsidRDefault="00A07506" w:rsidP="00A07506">
      <w:pPr>
        <w:rPr>
          <w:b/>
        </w:rPr>
      </w:pPr>
      <w:r w:rsidRPr="008D25FA">
        <w:rPr>
          <w:b/>
        </w:rPr>
        <w:t>Indstilling</w:t>
      </w:r>
    </w:p>
    <w:p w:rsidR="00A07506" w:rsidRPr="008D25FA" w:rsidRDefault="00A07506" w:rsidP="00A07506">
      <w:r w:rsidRPr="00E7137D">
        <w:t>Sagen forelægges til Udvalg for Uddannelse til orientering.</w:t>
      </w:r>
    </w:p>
    <w:p w:rsidR="00A07506" w:rsidRPr="008D25FA" w:rsidRDefault="00A07506" w:rsidP="00A07506"/>
    <w:p w:rsidR="00A07506" w:rsidRPr="008D25FA" w:rsidRDefault="00A07506" w:rsidP="00A07506">
      <w:pPr>
        <w:rPr>
          <w:b/>
        </w:rPr>
      </w:pPr>
      <w:r w:rsidRPr="008D25FA">
        <w:rPr>
          <w:b/>
        </w:rPr>
        <w:t>Afgørelse</w:t>
      </w:r>
    </w:p>
    <w:p w:rsidR="00A07506" w:rsidRDefault="00A07506" w:rsidP="00A07506"/>
    <w:p w:rsidR="00AA07A2" w:rsidRPr="008D25FA" w:rsidRDefault="00AA07A2" w:rsidP="00A07506">
      <w:r w:rsidRPr="00AA07A2">
        <w:rPr>
          <w:bCs/>
        </w:rPr>
        <w:t>Taget til efterretning.</w:t>
      </w:r>
    </w:p>
    <w:p w:rsidR="00A07506" w:rsidRPr="008D25FA" w:rsidRDefault="00A07506" w:rsidP="00A07506">
      <w:pPr>
        <w:rPr>
          <w:bCs/>
        </w:rPr>
      </w:pPr>
    </w:p>
    <w:p w:rsidR="00A07506" w:rsidRPr="008D25FA" w:rsidRDefault="00A07506" w:rsidP="00A07506">
      <w:pPr>
        <w:rPr>
          <w:b/>
        </w:rPr>
      </w:pPr>
      <w:r w:rsidRPr="008D25FA">
        <w:rPr>
          <w:b/>
        </w:rPr>
        <w:t>Bilag</w:t>
      </w:r>
    </w:p>
    <w:p w:rsidR="00A07506" w:rsidRPr="00DD7BEF" w:rsidRDefault="00A07506" w:rsidP="00A07506">
      <w:pPr>
        <w:numPr>
          <w:ilvl w:val="0"/>
          <w:numId w:val="2"/>
        </w:numPr>
        <w:tabs>
          <w:tab w:val="clear" w:pos="284"/>
        </w:tabs>
      </w:pPr>
      <w:r>
        <w:rPr>
          <w:bCs/>
        </w:rPr>
        <w:t>Dagsorden</w:t>
      </w:r>
    </w:p>
    <w:p w:rsidR="00A07506" w:rsidRDefault="00A07506" w:rsidP="00A07506">
      <w:pPr>
        <w:numPr>
          <w:ilvl w:val="0"/>
          <w:numId w:val="2"/>
        </w:numPr>
        <w:tabs>
          <w:tab w:val="clear" w:pos="284"/>
        </w:tabs>
      </w:pPr>
      <w:r w:rsidRPr="00DD7BEF">
        <w:t>Sektorplan for kollegier 2019</w:t>
      </w:r>
    </w:p>
    <w:p w:rsidR="00A07506" w:rsidRPr="00DD7BEF" w:rsidRDefault="00A07506" w:rsidP="00A07506">
      <w:pPr>
        <w:numPr>
          <w:ilvl w:val="0"/>
          <w:numId w:val="2"/>
        </w:numPr>
        <w:tabs>
          <w:tab w:val="clear" w:pos="284"/>
        </w:tabs>
      </w:pPr>
      <w:r w:rsidRPr="00DD7BEF">
        <w:t>Vision og bærende principper for holdbarheds og vækstplanen</w:t>
      </w:r>
    </w:p>
    <w:p w:rsidR="00A07506" w:rsidRPr="00A07506" w:rsidRDefault="009F5D4A" w:rsidP="00A07506">
      <w:pPr>
        <w:tabs>
          <w:tab w:val="clear" w:pos="284"/>
          <w:tab w:val="left" w:pos="-3544"/>
        </w:tabs>
        <w:spacing w:after="240"/>
        <w:rPr>
          <w:b/>
          <w:sz w:val="28"/>
          <w:szCs w:val="28"/>
          <w:u w:val="single"/>
        </w:rPr>
      </w:pPr>
      <w:r>
        <w:rPr>
          <w:b/>
          <w:sz w:val="28"/>
          <w:szCs w:val="28"/>
        </w:rPr>
        <w:lastRenderedPageBreak/>
        <w:t>Punkt 12</w:t>
      </w:r>
      <w:r w:rsidR="00A07506" w:rsidRPr="00A07506">
        <w:rPr>
          <w:b/>
          <w:sz w:val="28"/>
          <w:szCs w:val="28"/>
        </w:rPr>
        <w:t xml:space="preserve"> Orientering om Qeqqata </w:t>
      </w:r>
      <w:proofErr w:type="spellStart"/>
      <w:r w:rsidR="00A07506" w:rsidRPr="00A07506">
        <w:rPr>
          <w:b/>
          <w:sz w:val="28"/>
          <w:szCs w:val="28"/>
        </w:rPr>
        <w:t>Kommunias</w:t>
      </w:r>
      <w:proofErr w:type="spellEnd"/>
      <w:r w:rsidR="00A07506" w:rsidRPr="00A07506">
        <w:rPr>
          <w:b/>
          <w:sz w:val="28"/>
          <w:szCs w:val="28"/>
        </w:rPr>
        <w:t xml:space="preserve"> Høringssvar vedr. </w:t>
      </w:r>
      <w:r w:rsidR="00A07506" w:rsidRPr="00A07506">
        <w:rPr>
          <w:b/>
          <w:bCs/>
          <w:sz w:val="28"/>
          <w:szCs w:val="28"/>
        </w:rPr>
        <w:t xml:space="preserve">Tillæg til </w:t>
      </w:r>
      <w:proofErr w:type="spellStart"/>
      <w:r w:rsidR="00A07506" w:rsidRPr="00A07506">
        <w:rPr>
          <w:b/>
          <w:bCs/>
          <w:sz w:val="28"/>
          <w:szCs w:val="28"/>
        </w:rPr>
        <w:t>Naalakkersuisuts</w:t>
      </w:r>
      <w:proofErr w:type="spellEnd"/>
      <w:r w:rsidR="00A07506" w:rsidRPr="00A07506">
        <w:rPr>
          <w:b/>
          <w:bCs/>
          <w:sz w:val="28"/>
          <w:szCs w:val="28"/>
        </w:rPr>
        <w:t xml:space="preserve"> Strategi- og handleplan for fagpersonalet på daginstitutionerne – oktober 2019</w:t>
      </w:r>
    </w:p>
    <w:p w:rsidR="00A07506" w:rsidRPr="00A07506" w:rsidRDefault="00A07506" w:rsidP="00A07506">
      <w:pPr>
        <w:keepNext/>
        <w:tabs>
          <w:tab w:val="clear" w:pos="284"/>
        </w:tabs>
        <w:spacing w:after="240"/>
        <w:jc w:val="both"/>
        <w:outlineLvl w:val="1"/>
        <w:rPr>
          <w:i/>
        </w:rPr>
      </w:pPr>
      <w:proofErr w:type="spellStart"/>
      <w:r w:rsidRPr="00A07506">
        <w:rPr>
          <w:i/>
        </w:rPr>
        <w:t>Journalnr</w:t>
      </w:r>
      <w:proofErr w:type="spellEnd"/>
      <w:r w:rsidRPr="00A07506">
        <w:rPr>
          <w:i/>
        </w:rPr>
        <w:t>. 51.00</w:t>
      </w:r>
    </w:p>
    <w:p w:rsidR="00A07506" w:rsidRPr="00A07506" w:rsidRDefault="00A07506" w:rsidP="00A07506">
      <w:pPr>
        <w:keepNext/>
        <w:tabs>
          <w:tab w:val="clear" w:pos="284"/>
        </w:tabs>
        <w:outlineLvl w:val="2"/>
        <w:rPr>
          <w:u w:val="single"/>
        </w:rPr>
      </w:pPr>
      <w:r w:rsidRPr="00A07506">
        <w:rPr>
          <w:u w:val="single"/>
        </w:rPr>
        <w:t>Baggrund</w:t>
      </w:r>
    </w:p>
    <w:p w:rsidR="00A07506" w:rsidRPr="00A07506" w:rsidRDefault="00A07506" w:rsidP="00A07506">
      <w:pPr>
        <w:keepNext/>
        <w:tabs>
          <w:tab w:val="clear" w:pos="284"/>
        </w:tabs>
        <w:outlineLvl w:val="2"/>
      </w:pPr>
      <w:r w:rsidRPr="00A07506">
        <w:t xml:space="preserve">Efter det årlige møde i Følgegruppen den 26. september 2019 er der i forhold til </w:t>
      </w:r>
      <w:proofErr w:type="spellStart"/>
      <w:r w:rsidRPr="00A07506">
        <w:t>Naalakkersuisuts</w:t>
      </w:r>
      <w:proofErr w:type="spellEnd"/>
      <w:r w:rsidRPr="00A07506">
        <w:t xml:space="preserve"> Strategi- og handleplan for fagpersonalet på daginstitutionerne fra 2018 foreslået følgende tilføjelser:</w:t>
      </w:r>
    </w:p>
    <w:p w:rsidR="00A07506" w:rsidRPr="00A07506" w:rsidRDefault="00A07506" w:rsidP="00A07506">
      <w:pPr>
        <w:numPr>
          <w:ilvl w:val="0"/>
          <w:numId w:val="35"/>
        </w:numPr>
        <w:tabs>
          <w:tab w:val="clear" w:pos="284"/>
        </w:tabs>
        <w:spacing w:after="160" w:line="259" w:lineRule="auto"/>
        <w:contextualSpacing/>
        <w:rPr>
          <w:rFonts w:eastAsia="Calibri"/>
          <w:szCs w:val="22"/>
          <w:lang w:eastAsia="en-US"/>
        </w:rPr>
      </w:pPr>
      <w:r w:rsidRPr="00A07506">
        <w:rPr>
          <w:rFonts w:eastAsia="Calibri"/>
          <w:szCs w:val="22"/>
          <w:lang w:eastAsia="en-US"/>
        </w:rPr>
        <w:t xml:space="preserve">Input vedrørende financieringen af den decentrale pædagoguddannelse er indsat under </w:t>
      </w:r>
      <w:r w:rsidRPr="00A07506">
        <w:rPr>
          <w:rFonts w:eastAsia="Calibri"/>
          <w:b/>
          <w:bCs/>
          <w:szCs w:val="22"/>
          <w:lang w:eastAsia="en-US"/>
        </w:rPr>
        <w:t>Fokusområde 2, Uddannelse og opkvalificering, Indsatsområde II:</w:t>
      </w:r>
      <w:r w:rsidRPr="00A07506">
        <w:rPr>
          <w:rFonts w:eastAsia="Calibri"/>
          <w:szCs w:val="22"/>
          <w:lang w:eastAsia="en-US"/>
        </w:rPr>
        <w:t xml:space="preserve"> Evaluering af PI/SPS - for at sikre, at evalueringen tager højde for de nævnte forhold.</w:t>
      </w:r>
    </w:p>
    <w:p w:rsidR="00A07506" w:rsidRPr="00A07506" w:rsidRDefault="00A07506" w:rsidP="00A07506">
      <w:pPr>
        <w:numPr>
          <w:ilvl w:val="0"/>
          <w:numId w:val="35"/>
        </w:numPr>
        <w:tabs>
          <w:tab w:val="clear" w:pos="284"/>
        </w:tabs>
        <w:spacing w:before="100" w:beforeAutospacing="1" w:after="100" w:afterAutospacing="1"/>
        <w:contextualSpacing/>
        <w:rPr>
          <w:szCs w:val="24"/>
        </w:rPr>
      </w:pPr>
      <w:r w:rsidRPr="00A07506">
        <w:rPr>
          <w:rFonts w:eastAsia="Calibri"/>
          <w:szCs w:val="22"/>
          <w:lang w:eastAsia="en-US"/>
        </w:rPr>
        <w:t xml:space="preserve">Teksten til </w:t>
      </w:r>
      <w:r w:rsidRPr="00A07506">
        <w:rPr>
          <w:rFonts w:eastAsia="Calibri"/>
          <w:b/>
          <w:bCs/>
          <w:szCs w:val="22"/>
          <w:lang w:eastAsia="en-US"/>
        </w:rPr>
        <w:t>Fokusområde 2, Indsatsområde III, vedrørende nedsættelse af en koordinationsgruppe</w:t>
      </w:r>
      <w:r w:rsidRPr="00A07506">
        <w:rPr>
          <w:rFonts w:eastAsia="Calibri"/>
          <w:szCs w:val="22"/>
          <w:lang w:eastAsia="en-US"/>
        </w:rPr>
        <w:t xml:space="preserve"> til at få skabt et bedre overblik over samtlige midler til kurser samt efter- og videreuddannelse inden for Selvstyret og kommunerne, som samtidig skal sikre koordinerede og sammenhængende uddannelsesforløb for alle, der arbejder på daginstitutionsområdet, er nu ændret til, at koordinationsgruppen også skal fungere som en tværsektoriel koordineringsgruppe til at sikre information om og koordinering af indsatserne på ”menneskeområdet” på tværs af sektorerne.</w:t>
      </w:r>
    </w:p>
    <w:p w:rsidR="00A07506" w:rsidRPr="00A07506" w:rsidRDefault="00A07506" w:rsidP="00A07506">
      <w:pPr>
        <w:numPr>
          <w:ilvl w:val="0"/>
          <w:numId w:val="35"/>
        </w:numPr>
        <w:tabs>
          <w:tab w:val="clear" w:pos="284"/>
        </w:tabs>
        <w:spacing w:before="100" w:beforeAutospacing="1" w:after="100" w:afterAutospacing="1"/>
        <w:contextualSpacing/>
        <w:rPr>
          <w:szCs w:val="24"/>
        </w:rPr>
      </w:pPr>
      <w:r w:rsidRPr="00A07506">
        <w:rPr>
          <w:rFonts w:eastAsia="Calibri"/>
          <w:szCs w:val="22"/>
          <w:lang w:eastAsia="en-US"/>
        </w:rPr>
        <w:t xml:space="preserve">Der er indsat et nyt </w:t>
      </w:r>
      <w:r w:rsidRPr="00A07506">
        <w:rPr>
          <w:rFonts w:eastAsia="Calibri"/>
          <w:b/>
          <w:bCs/>
          <w:szCs w:val="22"/>
          <w:lang w:eastAsia="en-US"/>
        </w:rPr>
        <w:t>Fokusområde 6, indsatsområde I:</w:t>
      </w:r>
      <w:r w:rsidRPr="00A07506">
        <w:rPr>
          <w:rFonts w:eastAsia="Calibri"/>
          <w:szCs w:val="22"/>
          <w:lang w:eastAsia="en-US"/>
        </w:rPr>
        <w:t xml:space="preserve"> Revision af lovgrundlaget.</w:t>
      </w:r>
    </w:p>
    <w:p w:rsidR="00A07506" w:rsidRPr="00A07506" w:rsidRDefault="00A07506" w:rsidP="00A07506">
      <w:pPr>
        <w:tabs>
          <w:tab w:val="clear" w:pos="284"/>
        </w:tabs>
      </w:pPr>
      <w:r w:rsidRPr="00A07506">
        <w:t>Derfor har Uddannelsesstyrelsen udsendt en høring om disse tilføjelser med høringsfrist d. 29 oktober 2019.</w:t>
      </w:r>
    </w:p>
    <w:p w:rsidR="00A07506" w:rsidRPr="00A07506" w:rsidRDefault="00A07506" w:rsidP="00A07506">
      <w:pPr>
        <w:tabs>
          <w:tab w:val="clear" w:pos="284"/>
        </w:tabs>
      </w:pPr>
    </w:p>
    <w:p w:rsidR="00A07506" w:rsidRPr="00A07506" w:rsidRDefault="00A07506" w:rsidP="00A07506">
      <w:pPr>
        <w:keepNext/>
        <w:tabs>
          <w:tab w:val="clear" w:pos="284"/>
        </w:tabs>
        <w:outlineLvl w:val="2"/>
        <w:rPr>
          <w:u w:val="single"/>
        </w:rPr>
      </w:pPr>
      <w:r w:rsidRPr="00A07506">
        <w:rPr>
          <w:u w:val="single"/>
        </w:rPr>
        <w:t xml:space="preserve">Regelgrundlag </w:t>
      </w:r>
    </w:p>
    <w:p w:rsidR="00A07506" w:rsidRPr="00A07506" w:rsidRDefault="00A07506" w:rsidP="00A07506">
      <w:pPr>
        <w:tabs>
          <w:tab w:val="clear" w:pos="284"/>
        </w:tabs>
      </w:pPr>
      <w:proofErr w:type="spellStart"/>
      <w:r w:rsidRPr="00A07506">
        <w:t>Inatsisartutlov</w:t>
      </w:r>
      <w:proofErr w:type="spellEnd"/>
      <w:r w:rsidRPr="00A07506">
        <w:t xml:space="preserve"> nr. 16 af 3. december 2012 om pædagogisk udviklende tilbud til børn i førskolealderen</w:t>
      </w:r>
    </w:p>
    <w:p w:rsidR="00A07506" w:rsidRPr="00A07506" w:rsidRDefault="00A07506" w:rsidP="00A07506">
      <w:pPr>
        <w:tabs>
          <w:tab w:val="clear" w:pos="284"/>
        </w:tabs>
      </w:pPr>
    </w:p>
    <w:p w:rsidR="00A07506" w:rsidRPr="00A07506" w:rsidRDefault="00A07506" w:rsidP="00A07506">
      <w:pPr>
        <w:tabs>
          <w:tab w:val="clear" w:pos="284"/>
        </w:tabs>
        <w:rPr>
          <w:u w:val="single"/>
        </w:rPr>
      </w:pPr>
      <w:r w:rsidRPr="00A07506">
        <w:rPr>
          <w:u w:val="single"/>
        </w:rPr>
        <w:t>Faktiske forhold</w:t>
      </w:r>
    </w:p>
    <w:p w:rsidR="00A07506" w:rsidRPr="00A07506" w:rsidRDefault="00A07506" w:rsidP="00A07506">
      <w:pPr>
        <w:tabs>
          <w:tab w:val="clear" w:pos="284"/>
        </w:tabs>
      </w:pPr>
      <w:r w:rsidRPr="00A07506">
        <w:t>Høringen har været sendt til området for uddannelse og daginstitutionerne har været adspurgt i forhold til input.</w:t>
      </w:r>
    </w:p>
    <w:p w:rsidR="00A07506" w:rsidRPr="00A07506" w:rsidRDefault="00A07506" w:rsidP="00A07506">
      <w:pPr>
        <w:tabs>
          <w:tab w:val="clear" w:pos="284"/>
        </w:tabs>
      </w:pPr>
      <w:r w:rsidRPr="00A07506">
        <w:t xml:space="preserve">Da administrationen ikke har kunnet nå at have høringen til politisk høring er den blevet godkendt af Forkvinden for Udvalg for uddannelse. </w:t>
      </w:r>
    </w:p>
    <w:p w:rsidR="00A07506" w:rsidRPr="00A07506" w:rsidRDefault="00A07506" w:rsidP="00A07506">
      <w:pPr>
        <w:tabs>
          <w:tab w:val="clear" w:pos="284"/>
        </w:tabs>
      </w:pPr>
    </w:p>
    <w:p w:rsidR="00A07506" w:rsidRPr="00A07506" w:rsidRDefault="00A07506" w:rsidP="00A07506">
      <w:pPr>
        <w:tabs>
          <w:tab w:val="clear" w:pos="284"/>
        </w:tabs>
        <w:rPr>
          <w:u w:val="single"/>
        </w:rPr>
      </w:pPr>
      <w:r w:rsidRPr="00A07506">
        <w:rPr>
          <w:u w:val="single"/>
        </w:rPr>
        <w:t>Bæredygtige konsekvenser</w:t>
      </w:r>
    </w:p>
    <w:p w:rsidR="00A07506" w:rsidRPr="00A07506" w:rsidRDefault="00A07506" w:rsidP="00A07506">
      <w:pPr>
        <w:tabs>
          <w:tab w:val="clear" w:pos="284"/>
        </w:tabs>
      </w:pPr>
      <w:r w:rsidRPr="00A07506">
        <w:t>Det er bæredygtigt at styrke og fastholde personalet i daginstitutionerne.</w:t>
      </w:r>
    </w:p>
    <w:p w:rsidR="00A07506" w:rsidRPr="00A07506" w:rsidRDefault="00A07506" w:rsidP="00A07506">
      <w:pPr>
        <w:tabs>
          <w:tab w:val="clear" w:pos="284"/>
        </w:tabs>
        <w:rPr>
          <w:u w:val="single"/>
        </w:rPr>
      </w:pPr>
      <w:r w:rsidRPr="00A07506">
        <w:rPr>
          <w:u w:val="single"/>
        </w:rPr>
        <w:t>Økonomiske og administrative konsekvenser</w:t>
      </w:r>
    </w:p>
    <w:p w:rsidR="00A07506" w:rsidRPr="00A07506" w:rsidRDefault="00A07506" w:rsidP="00A07506">
      <w:pPr>
        <w:tabs>
          <w:tab w:val="clear" w:pos="284"/>
        </w:tabs>
      </w:pPr>
      <w:r w:rsidRPr="00A07506">
        <w:t>Ingen økonomiske konsekvenser</w:t>
      </w:r>
    </w:p>
    <w:p w:rsidR="00A07506" w:rsidRPr="00A07506" w:rsidRDefault="00A07506" w:rsidP="00A07506">
      <w:pPr>
        <w:tabs>
          <w:tab w:val="clear" w:pos="284"/>
        </w:tabs>
      </w:pPr>
    </w:p>
    <w:p w:rsidR="00A07506" w:rsidRPr="00A07506" w:rsidRDefault="00A07506" w:rsidP="00A07506">
      <w:pPr>
        <w:keepNext/>
        <w:tabs>
          <w:tab w:val="clear" w:pos="284"/>
        </w:tabs>
        <w:outlineLvl w:val="2"/>
        <w:rPr>
          <w:u w:val="single"/>
        </w:rPr>
      </w:pPr>
      <w:r w:rsidRPr="00A07506">
        <w:rPr>
          <w:u w:val="single"/>
        </w:rPr>
        <w:t>Administrationens vurdering</w:t>
      </w:r>
    </w:p>
    <w:p w:rsidR="00A07506" w:rsidRPr="00A07506" w:rsidRDefault="00A07506" w:rsidP="00A07506">
      <w:pPr>
        <w:tabs>
          <w:tab w:val="clear" w:pos="284"/>
        </w:tabs>
      </w:pPr>
      <w:r w:rsidRPr="00A07506">
        <w:t>Administrationen har udformet følgende høringssvar:</w:t>
      </w:r>
    </w:p>
    <w:p w:rsidR="00A07506" w:rsidRPr="00A07506" w:rsidRDefault="00A07506" w:rsidP="00A07506">
      <w:pPr>
        <w:tabs>
          <w:tab w:val="clear" w:pos="284"/>
        </w:tabs>
        <w:rPr>
          <w:b/>
        </w:rPr>
      </w:pPr>
      <w:r w:rsidRPr="00A07506">
        <w:rPr>
          <w:b/>
        </w:rPr>
        <w:t xml:space="preserve">Qeqqata </w:t>
      </w:r>
      <w:proofErr w:type="spellStart"/>
      <w:r w:rsidRPr="00A07506">
        <w:rPr>
          <w:b/>
        </w:rPr>
        <w:t>Kommunias</w:t>
      </w:r>
      <w:proofErr w:type="spellEnd"/>
      <w:r w:rsidRPr="00A07506">
        <w:rPr>
          <w:b/>
        </w:rPr>
        <w:t xml:space="preserve"> Høringssvar vedr. </w:t>
      </w:r>
      <w:r w:rsidRPr="00A07506">
        <w:rPr>
          <w:b/>
          <w:bCs/>
        </w:rPr>
        <w:t xml:space="preserve">Tillæg til </w:t>
      </w:r>
      <w:proofErr w:type="spellStart"/>
      <w:r w:rsidRPr="00A07506">
        <w:rPr>
          <w:b/>
          <w:bCs/>
        </w:rPr>
        <w:t>Naalakkersuisuts</w:t>
      </w:r>
      <w:proofErr w:type="spellEnd"/>
      <w:r w:rsidRPr="00A07506">
        <w:rPr>
          <w:b/>
          <w:bCs/>
        </w:rPr>
        <w:t xml:space="preserve"> Strategi- og handleplan for fagpersonalet på daginstitutionerne – oktober 2019</w:t>
      </w:r>
    </w:p>
    <w:p w:rsidR="00A07506" w:rsidRPr="00A07506" w:rsidRDefault="00A07506" w:rsidP="00A07506">
      <w:pPr>
        <w:tabs>
          <w:tab w:val="clear" w:pos="284"/>
        </w:tabs>
      </w:pPr>
      <w:r w:rsidRPr="00A07506">
        <w:t>Qeqqata Kommunia er glade for og deltage i følgegruppen og at vi havde mulighed for at komme med input på mødet i Nuuk. Vi mener at organiseringen af strategi- og handleplanen er god og vi følger godt med i arbejdet og er glade for muligheden for at komme med anbefalinger. Og vi er meget positive over at I tager anbefalingerne til efterretning og at de er indarbejdet i tillægget.</w:t>
      </w:r>
    </w:p>
    <w:p w:rsidR="00A07506" w:rsidRPr="00A07506" w:rsidRDefault="00A07506" w:rsidP="00A07506">
      <w:pPr>
        <w:tabs>
          <w:tab w:val="clear" w:pos="284"/>
        </w:tabs>
      </w:pPr>
      <w:r w:rsidRPr="00A07506">
        <w:lastRenderedPageBreak/>
        <w:t>Selvom lønforholdene ikke er en del af denne høring, vil vi understrege vigtigheden af, at få lønforhold på plads, da disse er afgørende i forhold til at få startegien udført.</w:t>
      </w:r>
    </w:p>
    <w:p w:rsidR="00A07506" w:rsidRPr="00A07506" w:rsidRDefault="00A07506" w:rsidP="00A07506">
      <w:pPr>
        <w:tabs>
          <w:tab w:val="clear" w:pos="284"/>
        </w:tabs>
        <w:rPr>
          <w:b/>
        </w:rPr>
      </w:pPr>
      <w:r w:rsidRPr="00A07506">
        <w:rPr>
          <w:b/>
        </w:rPr>
        <w:t>Input til Præcisering af 2 indsatsområder:</w:t>
      </w:r>
    </w:p>
    <w:p w:rsidR="00A07506" w:rsidRPr="00A07506" w:rsidRDefault="00A07506" w:rsidP="00A07506">
      <w:pPr>
        <w:tabs>
          <w:tab w:val="clear" w:pos="284"/>
        </w:tabs>
      </w:pPr>
      <w:r w:rsidRPr="00A07506">
        <w:rPr>
          <w:b/>
        </w:rPr>
        <w:t>Finansieringen af den decentrale pædagoguddannelse</w:t>
      </w:r>
      <w:r w:rsidRPr="00A07506">
        <w:t xml:space="preserve"> er indsat under </w:t>
      </w:r>
      <w:r w:rsidRPr="00A07506">
        <w:rPr>
          <w:b/>
          <w:bCs/>
        </w:rPr>
        <w:t>Fokusområde 2, Uddannelse og opkvalificering, Indsatsområde II:</w:t>
      </w:r>
      <w:r w:rsidRPr="00A07506">
        <w:t xml:space="preserve"> Evaluering af PI/SPS - for at sikre, at evalueringen tager højde for de nævnte forhold.</w:t>
      </w:r>
    </w:p>
    <w:p w:rsidR="00A07506" w:rsidRPr="00A07506" w:rsidRDefault="00A07506" w:rsidP="00A07506">
      <w:pPr>
        <w:tabs>
          <w:tab w:val="clear" w:pos="284"/>
        </w:tabs>
      </w:pPr>
      <w:r w:rsidRPr="00A07506">
        <w:t xml:space="preserve">Det er rigtig godt at denne del er med, for at sikre ensretning af støttemuligheder til uddannelsen, så der ikke er forskel på om man får løn eller SU afhængig af hvilken kommune man bor. Vi bakker fuldt op om at gøre den decentrale pædagoguddannelse sammenlignelig med den decentrale læreruddannelse. Hvis man vil sikre flere uddannende er det vigtigt med gode forhold under uddannelsen. Derfor er det også vigtigt at den decentrale uddannelse gøres mere decentral som læreruddannelsen, hvor det ikke er nødvendigt at flytte fra sin by eller bygd for at studere, samtidig med at man kan fastholde sit arbejde. </w:t>
      </w:r>
    </w:p>
    <w:p w:rsidR="00A07506" w:rsidRPr="00A07506" w:rsidRDefault="00A07506" w:rsidP="00A07506">
      <w:pPr>
        <w:tabs>
          <w:tab w:val="clear" w:pos="284"/>
        </w:tabs>
      </w:pPr>
      <w:r w:rsidRPr="00A07506">
        <w:t xml:space="preserve">I forhold til Kursusstrategi: De erfaringer der er gjort i arbejdet med Ressourcegrupper kan bruges til fremover at styrke og udvikle personalet lokalt. Dette kan gøres ved, at fortsætte med behovsorienterede kurser, ligesom der på uddannelsesområdet, når arbejdet med ressourcegrupper stoppes. Her Undervises hele personalegruppen lokalt og kurset defineres i samarbejde med personalet og uddannelsesstyrelsen. Disse kurser kan PI/SSP fremover stå for, da disse har været meget usynlige i forhold til efteruddannelse af personale i daginstitutioner. Et af de områder der bl.a. er behov for at styrke er blandt andet viden om hvordan man kan støtte socialt udsatte børn, samt børn med særlige behov. </w:t>
      </w:r>
    </w:p>
    <w:p w:rsidR="00A07506" w:rsidRPr="00A07506" w:rsidRDefault="00A07506" w:rsidP="00A07506">
      <w:pPr>
        <w:tabs>
          <w:tab w:val="clear" w:pos="284"/>
        </w:tabs>
      </w:pPr>
      <w:r w:rsidRPr="00A07506">
        <w:rPr>
          <w:b/>
          <w:bCs/>
        </w:rPr>
        <w:t>Indsatsområde III, vedrørende nedsættelse af en koordinationsgruppe</w:t>
      </w:r>
      <w:r w:rsidRPr="00A07506">
        <w:t xml:space="preserve"> </w:t>
      </w:r>
    </w:p>
    <w:p w:rsidR="00A07506" w:rsidRPr="00A07506" w:rsidRDefault="00A07506" w:rsidP="00A07506">
      <w:pPr>
        <w:tabs>
          <w:tab w:val="clear" w:pos="284"/>
        </w:tabs>
      </w:pPr>
      <w:r w:rsidRPr="00A07506">
        <w:t>Vi er helt enige i nedsættelsen af en koordineringsgruppe.</w:t>
      </w:r>
    </w:p>
    <w:p w:rsidR="00A07506" w:rsidRPr="00A07506" w:rsidRDefault="00A07506" w:rsidP="00A07506">
      <w:pPr>
        <w:tabs>
          <w:tab w:val="clear" w:pos="284"/>
        </w:tabs>
        <w:rPr>
          <w:b/>
        </w:rPr>
      </w:pPr>
      <w:r w:rsidRPr="00A07506">
        <w:rPr>
          <w:b/>
        </w:rPr>
        <w:t>Tilføjelse af et nyt Fokusområde 6, indsatsområde I: Revision af lovgrundlaget:</w:t>
      </w:r>
    </w:p>
    <w:p w:rsidR="00A07506" w:rsidRPr="00A07506" w:rsidRDefault="00A07506" w:rsidP="00A07506">
      <w:pPr>
        <w:tabs>
          <w:tab w:val="clear" w:pos="284"/>
        </w:tabs>
      </w:pPr>
      <w:r w:rsidRPr="00A07506">
        <w:t>Vi er enige og er glade for de tilføjelser, der er gjort som følge af følgegruppens anbefalinger, særligt i forhold til normeringer.</w:t>
      </w:r>
    </w:p>
    <w:p w:rsidR="00A07506" w:rsidRPr="00A07506" w:rsidRDefault="00A07506" w:rsidP="00A07506">
      <w:pPr>
        <w:tabs>
          <w:tab w:val="clear" w:pos="284"/>
        </w:tabs>
      </w:pPr>
      <w:r w:rsidRPr="00A07506">
        <w:t xml:space="preserve">Vi har dog følgende tilføjelser. Det er vigtigt at souschefen på daginstitutionerne fortsat er pædagogisk personale, da deres arbejde omhandler pædagogisk ledelse, desuden er disse vigtige, når personaledækningen ikke er optimal. </w:t>
      </w:r>
    </w:p>
    <w:p w:rsidR="00A07506" w:rsidRPr="00A07506" w:rsidRDefault="00A07506" w:rsidP="00A07506">
      <w:pPr>
        <w:tabs>
          <w:tab w:val="clear" w:pos="284"/>
        </w:tabs>
      </w:pPr>
      <w:r w:rsidRPr="00A07506">
        <w:t>Det er meget vigtigt for dagligdagen i daginstitutionerne, at der bliver set på vikardækningen i de enkelte kommuner og der kommer forslag til, hvordan denne kan løses mest optimalt.</w:t>
      </w:r>
    </w:p>
    <w:p w:rsidR="00A07506" w:rsidRPr="00A07506" w:rsidRDefault="00A07506" w:rsidP="00A07506">
      <w:pPr>
        <w:tabs>
          <w:tab w:val="clear" w:pos="284"/>
        </w:tabs>
      </w:pPr>
      <w:r w:rsidRPr="00A07506">
        <w:t xml:space="preserve">Desuden er det vigtigt at dagplejecentre også nævnes under normeringer, hvilket de ikke gør pt. </w:t>
      </w:r>
    </w:p>
    <w:p w:rsidR="00A07506" w:rsidRPr="00A07506" w:rsidRDefault="00A07506" w:rsidP="00A07506">
      <w:pPr>
        <w:tabs>
          <w:tab w:val="clear" w:pos="284"/>
        </w:tabs>
      </w:pPr>
      <w:r w:rsidRPr="00A07506">
        <w:t xml:space="preserve">Kommunen ser frem til et fortsat tæt samarbejde omkring arbejdet med </w:t>
      </w:r>
      <w:r w:rsidRPr="00A07506">
        <w:rPr>
          <w:bCs/>
        </w:rPr>
        <w:t>Strategi- og handleplan for fagpersonalet på daginstitutionerne.</w:t>
      </w:r>
    </w:p>
    <w:p w:rsidR="00A07506" w:rsidRPr="00A07506" w:rsidRDefault="00A07506" w:rsidP="00A07506">
      <w:pPr>
        <w:tabs>
          <w:tab w:val="clear" w:pos="284"/>
        </w:tabs>
      </w:pPr>
    </w:p>
    <w:p w:rsidR="00A07506" w:rsidRPr="00A07506" w:rsidRDefault="00A07506" w:rsidP="00A07506">
      <w:pPr>
        <w:tabs>
          <w:tab w:val="clear" w:pos="284"/>
        </w:tabs>
      </w:pPr>
    </w:p>
    <w:p w:rsidR="00A07506" w:rsidRPr="00A07506" w:rsidRDefault="00A07506" w:rsidP="00A07506">
      <w:pPr>
        <w:keepNext/>
        <w:tabs>
          <w:tab w:val="clear" w:pos="284"/>
        </w:tabs>
        <w:outlineLvl w:val="3"/>
        <w:rPr>
          <w:b/>
        </w:rPr>
      </w:pPr>
      <w:r w:rsidRPr="00A07506">
        <w:rPr>
          <w:b/>
        </w:rPr>
        <w:t>Indstilling</w:t>
      </w:r>
      <w:r w:rsidRPr="00A07506">
        <w:rPr>
          <w:b/>
        </w:rPr>
        <w:tab/>
      </w:r>
    </w:p>
    <w:p w:rsidR="00A07506" w:rsidRPr="00A07506" w:rsidRDefault="00A07506" w:rsidP="00A07506">
      <w:pPr>
        <w:tabs>
          <w:tab w:val="clear" w:pos="284"/>
        </w:tabs>
        <w:rPr>
          <w:rFonts w:cs="Arial"/>
        </w:rPr>
      </w:pPr>
      <w:r w:rsidRPr="00A07506">
        <w:t xml:space="preserve">Det indstilles, at </w:t>
      </w:r>
      <w:r w:rsidRPr="00A07506">
        <w:rPr>
          <w:rFonts w:cs="Arial"/>
        </w:rPr>
        <w:t>Udvalg for Uddannelse</w:t>
      </w:r>
    </w:p>
    <w:p w:rsidR="00A07506" w:rsidRPr="00A07506" w:rsidRDefault="00A07506" w:rsidP="00A07506">
      <w:pPr>
        <w:tabs>
          <w:tab w:val="clear" w:pos="284"/>
        </w:tabs>
      </w:pPr>
      <w:r w:rsidRPr="00A07506">
        <w:rPr>
          <w:rFonts w:cs="Arial"/>
        </w:rPr>
        <w:t>-tager orienteringen til efterretning</w:t>
      </w:r>
    </w:p>
    <w:p w:rsidR="00A07506" w:rsidRPr="00A07506" w:rsidRDefault="00A07506" w:rsidP="00A07506">
      <w:pPr>
        <w:tabs>
          <w:tab w:val="clear" w:pos="284"/>
        </w:tabs>
      </w:pPr>
    </w:p>
    <w:p w:rsidR="00A07506" w:rsidRPr="00A07506" w:rsidRDefault="00A07506" w:rsidP="00A07506">
      <w:pPr>
        <w:keepNext/>
        <w:tabs>
          <w:tab w:val="clear" w:pos="284"/>
        </w:tabs>
        <w:outlineLvl w:val="3"/>
        <w:rPr>
          <w:b/>
        </w:rPr>
      </w:pPr>
      <w:r w:rsidRPr="00A07506">
        <w:rPr>
          <w:b/>
        </w:rPr>
        <w:t>Afgørelse</w:t>
      </w:r>
      <w:r w:rsidRPr="00A07506">
        <w:rPr>
          <w:b/>
        </w:rPr>
        <w:tab/>
      </w:r>
    </w:p>
    <w:p w:rsidR="00A07506" w:rsidRPr="00A07506" w:rsidRDefault="00A07506" w:rsidP="00A07506">
      <w:pPr>
        <w:tabs>
          <w:tab w:val="clear" w:pos="284"/>
        </w:tabs>
      </w:pPr>
    </w:p>
    <w:p w:rsidR="00A07506" w:rsidRDefault="00AA07A2" w:rsidP="00AA07A2">
      <w:r w:rsidRPr="00AA07A2">
        <w:rPr>
          <w:bCs/>
        </w:rPr>
        <w:t>Taget til efterretning.</w:t>
      </w:r>
    </w:p>
    <w:p w:rsidR="00AA07A2" w:rsidRPr="00A07506" w:rsidRDefault="00AA07A2" w:rsidP="00A07506">
      <w:pPr>
        <w:tabs>
          <w:tab w:val="clear" w:pos="284"/>
        </w:tabs>
      </w:pPr>
    </w:p>
    <w:p w:rsidR="00A07506" w:rsidRPr="00A07506" w:rsidRDefault="00A07506" w:rsidP="00A07506">
      <w:pPr>
        <w:keepNext/>
        <w:tabs>
          <w:tab w:val="clear" w:pos="284"/>
        </w:tabs>
        <w:outlineLvl w:val="3"/>
        <w:rPr>
          <w:b/>
        </w:rPr>
      </w:pPr>
      <w:r w:rsidRPr="00A07506">
        <w:rPr>
          <w:b/>
        </w:rPr>
        <w:t>Bilag</w:t>
      </w:r>
    </w:p>
    <w:p w:rsidR="00A07506" w:rsidRPr="00A07506" w:rsidRDefault="00A07506" w:rsidP="00A07506">
      <w:pPr>
        <w:numPr>
          <w:ilvl w:val="0"/>
          <w:numId w:val="3"/>
        </w:numPr>
        <w:tabs>
          <w:tab w:val="clear" w:pos="207"/>
          <w:tab w:val="clear" w:pos="284"/>
          <w:tab w:val="num" w:pos="360"/>
        </w:tabs>
        <w:ind w:left="360" w:hanging="360"/>
      </w:pPr>
      <w:r w:rsidRPr="00A07506">
        <w:t xml:space="preserve">Qeqqata </w:t>
      </w:r>
      <w:proofErr w:type="spellStart"/>
      <w:r w:rsidRPr="00A07506">
        <w:t>Kommunias</w:t>
      </w:r>
      <w:proofErr w:type="spellEnd"/>
      <w:r w:rsidRPr="00A07506">
        <w:t xml:space="preserve"> høringssvar</w:t>
      </w:r>
    </w:p>
    <w:p w:rsidR="00A07506" w:rsidRPr="00A07506" w:rsidRDefault="00A07506" w:rsidP="00A07506">
      <w:pPr>
        <w:numPr>
          <w:ilvl w:val="0"/>
          <w:numId w:val="3"/>
        </w:numPr>
        <w:tabs>
          <w:tab w:val="clear" w:pos="207"/>
          <w:tab w:val="clear" w:pos="284"/>
          <w:tab w:val="num" w:pos="360"/>
        </w:tabs>
        <w:ind w:left="360" w:hanging="360"/>
      </w:pPr>
      <w:r w:rsidRPr="00A07506">
        <w:t xml:space="preserve">Høringsskrivelse </w:t>
      </w:r>
    </w:p>
    <w:p w:rsidR="00A07506" w:rsidRPr="00A07506" w:rsidRDefault="00A07506" w:rsidP="00A07506">
      <w:pPr>
        <w:tabs>
          <w:tab w:val="clear" w:pos="284"/>
          <w:tab w:val="left" w:pos="3630"/>
        </w:tabs>
        <w:rPr>
          <w:b/>
          <w:bCs/>
        </w:rPr>
      </w:pPr>
      <w:r w:rsidRPr="00A07506">
        <w:t xml:space="preserve">2. </w:t>
      </w:r>
      <w:r w:rsidRPr="00A07506">
        <w:rPr>
          <w:bCs/>
        </w:rPr>
        <w:t xml:space="preserve">Udkast til </w:t>
      </w:r>
      <w:proofErr w:type="spellStart"/>
      <w:r w:rsidRPr="00A07506">
        <w:rPr>
          <w:bCs/>
        </w:rPr>
        <w:t>Naalakkersuisuts</w:t>
      </w:r>
      <w:proofErr w:type="spellEnd"/>
      <w:r w:rsidRPr="00A07506">
        <w:rPr>
          <w:bCs/>
        </w:rPr>
        <w:t xml:space="preserve"> Strategi– og handleplan for fagpersonalet på daginstitutionerne</w:t>
      </w:r>
    </w:p>
    <w:p w:rsidR="00A07506" w:rsidRPr="00A07506" w:rsidRDefault="00A07506" w:rsidP="00A07506">
      <w:pPr>
        <w:tabs>
          <w:tab w:val="clear" w:pos="284"/>
          <w:tab w:val="left" w:pos="3630"/>
        </w:tabs>
      </w:pPr>
    </w:p>
    <w:p w:rsidR="00A07506" w:rsidRPr="00C102F0" w:rsidRDefault="009F5D4A" w:rsidP="00A07506">
      <w:pPr>
        <w:pStyle w:val="Overskrift1"/>
        <w:rPr>
          <w:rFonts w:ascii="Times New Roman" w:hAnsi="Times New Roman"/>
          <w:b w:val="0"/>
          <w:sz w:val="28"/>
          <w:szCs w:val="28"/>
        </w:rPr>
      </w:pPr>
      <w:r>
        <w:rPr>
          <w:rFonts w:ascii="Times New Roman" w:hAnsi="Times New Roman"/>
          <w:sz w:val="28"/>
          <w:szCs w:val="28"/>
          <w:lang w:eastAsia="ja-JP"/>
        </w:rPr>
        <w:softHyphen/>
        <w:t>Punkt. 13</w:t>
      </w:r>
      <w:r w:rsidR="00A07506" w:rsidRPr="00C102F0">
        <w:rPr>
          <w:rFonts w:ascii="Times New Roman" w:hAnsi="Times New Roman"/>
          <w:sz w:val="28"/>
          <w:szCs w:val="28"/>
          <w:lang w:eastAsia="ja-JP"/>
        </w:rPr>
        <w:t xml:space="preserve"> Styrkelse af fritidsområdet</w:t>
      </w:r>
    </w:p>
    <w:p w:rsidR="00A07506" w:rsidRPr="008D25FA" w:rsidRDefault="00A07506" w:rsidP="00A07506">
      <w:pPr>
        <w:pStyle w:val="Overskrift1"/>
        <w:rPr>
          <w:rFonts w:ascii="Times New Roman" w:hAnsi="Times New Roman"/>
          <w:i/>
          <w:sz w:val="32"/>
        </w:rPr>
      </w:pPr>
      <w:r w:rsidRPr="008D25FA">
        <w:rPr>
          <w:rFonts w:ascii="Times New Roman" w:hAnsi="Times New Roman"/>
          <w:b w:val="0"/>
          <w:i/>
          <w:sz w:val="22"/>
        </w:rPr>
        <w:t xml:space="preserve">Journal nr. </w:t>
      </w:r>
      <w:r w:rsidRPr="00131FF0">
        <w:rPr>
          <w:rFonts w:ascii="Times New Roman" w:hAnsi="Times New Roman"/>
          <w:b w:val="0"/>
          <w:i/>
          <w:sz w:val="22"/>
        </w:rPr>
        <w:t>17.00.01</w:t>
      </w:r>
    </w:p>
    <w:p w:rsidR="00A07506" w:rsidRPr="008D25FA" w:rsidRDefault="00A07506" w:rsidP="00A07506"/>
    <w:p w:rsidR="00A07506" w:rsidRPr="008D25FA" w:rsidRDefault="00A07506" w:rsidP="00A07506">
      <w:pPr>
        <w:rPr>
          <w:i/>
        </w:rPr>
      </w:pPr>
    </w:p>
    <w:p w:rsidR="00A07506" w:rsidRPr="00131FF0" w:rsidRDefault="00A07506" w:rsidP="00A07506">
      <w:pPr>
        <w:rPr>
          <w:u w:val="single"/>
        </w:rPr>
      </w:pPr>
      <w:r w:rsidRPr="008D25FA">
        <w:rPr>
          <w:u w:val="single"/>
        </w:rPr>
        <w:t>Baggrund</w:t>
      </w:r>
    </w:p>
    <w:p w:rsidR="00A07506" w:rsidRPr="00285874" w:rsidRDefault="00A07506" w:rsidP="00A07506">
      <w:r w:rsidRPr="00285874">
        <w:t xml:space="preserve">Medarbejdere i </w:t>
      </w:r>
      <w:r>
        <w:t>fritidsklubben, ungdomsklubben, skolehjemmet, fritidshjemmet</w:t>
      </w:r>
      <w:r w:rsidRPr="00285874">
        <w:t xml:space="preserve"> i </w:t>
      </w:r>
      <w:r>
        <w:t>Maniitsoq, med deltagere fra Maniitsoqs bygder,</w:t>
      </w:r>
      <w:r w:rsidRPr="00285874">
        <w:t xml:space="preserve"> har i uge 41 h</w:t>
      </w:r>
      <w:r>
        <w:t>aft kursus med overskriften ”den</w:t>
      </w:r>
      <w:r w:rsidRPr="00285874">
        <w:t xml:space="preserve"> gode udvikling i </w:t>
      </w:r>
      <w:r>
        <w:t>at støtte børn og unge</w:t>
      </w:r>
      <w:r w:rsidRPr="00285874">
        <w:t xml:space="preserve">”. Formålet med kurset er, at medarbejdere i klubberne udvikler deres </w:t>
      </w:r>
      <w:r>
        <w:t>pædagogiske</w:t>
      </w:r>
      <w:r w:rsidRPr="00285874">
        <w:t xml:space="preserve"> metoder med arbejdet med børn og unge. Målet med kurset er at styrke medarbejdernes tværfaglighed og </w:t>
      </w:r>
      <w:r>
        <w:t>koordineringen</w:t>
      </w:r>
      <w:r w:rsidRPr="00285874">
        <w:t xml:space="preserve"> til daglig.</w:t>
      </w:r>
    </w:p>
    <w:p w:rsidR="00A07506" w:rsidRDefault="00A07506" w:rsidP="00A07506"/>
    <w:p w:rsidR="00A07506" w:rsidRPr="00285874" w:rsidRDefault="00A07506" w:rsidP="00A07506">
      <w:r>
        <w:t xml:space="preserve">Kurset i </w:t>
      </w:r>
      <w:proofErr w:type="spellStart"/>
      <w:r>
        <w:t>Kangaamiut</w:t>
      </w:r>
      <w:proofErr w:type="spellEnd"/>
      <w:r>
        <w:t xml:space="preserve"> varede 3 dage, og blev afholdt i dagene 19. 20. samt den 21. oktober. I Sisimiut afholdes kurset for fritidspersonalet samt personale fra Sisimiuts bygder i uge 45.</w:t>
      </w:r>
    </w:p>
    <w:p w:rsidR="00A07506" w:rsidRPr="008D25FA" w:rsidRDefault="00A07506" w:rsidP="00A07506"/>
    <w:p w:rsidR="00A07506" w:rsidRPr="008D25FA" w:rsidRDefault="00A07506" w:rsidP="00A07506">
      <w:pPr>
        <w:rPr>
          <w:u w:val="single"/>
        </w:rPr>
      </w:pPr>
      <w:r w:rsidRPr="008D25FA">
        <w:rPr>
          <w:u w:val="single"/>
        </w:rPr>
        <w:t xml:space="preserve">Regelgrundlag </w:t>
      </w:r>
    </w:p>
    <w:p w:rsidR="00A07506" w:rsidRDefault="00A07506" w:rsidP="00A07506">
      <w:proofErr w:type="spellStart"/>
      <w:r w:rsidRPr="00A7655D">
        <w:t>Inatsisartutlov</w:t>
      </w:r>
      <w:proofErr w:type="spellEnd"/>
      <w:r w:rsidRPr="00A7655D">
        <w:t xml:space="preserve"> nr. 5 af 6. juni 2016 om kultur- og fritidsvirksomhed</w:t>
      </w:r>
    </w:p>
    <w:p w:rsidR="00A07506" w:rsidRPr="008D25FA" w:rsidRDefault="00A07506" w:rsidP="00A07506"/>
    <w:p w:rsidR="00A07506" w:rsidRPr="008D25FA" w:rsidRDefault="00A07506" w:rsidP="00A07506">
      <w:pPr>
        <w:rPr>
          <w:u w:val="single"/>
        </w:rPr>
      </w:pPr>
      <w:r w:rsidRPr="008D25FA">
        <w:rPr>
          <w:u w:val="single"/>
        </w:rPr>
        <w:t>Faktiske forhold</w:t>
      </w:r>
    </w:p>
    <w:p w:rsidR="00A07506" w:rsidRPr="0067475D" w:rsidRDefault="00A07506" w:rsidP="00A07506">
      <w:r>
        <w:t>Under kurset fremlægger deltagerne om status på arbejdet, også for at lære hinanden bedre at kende på tværs af deres arbejdspladser. Der var fremlæggelser om pædagogik og opdragelse, kommunikation, kultur og medborgerskab, anerkendende pædagogik, udvikling af kompetencer, udarbejdelse af handleplaner, tværgående samarbejde, løbende evaluering samt planlægning af fremtidig samarbejde med aftaler for fremtidige møder på tværs. Kurserne forløb med fremlæggelser og arbejdsgruppearbejde, hvor deltagerne hele tiden fremlægger deres arbejde blandet med pædagogiske og kreative lege, der også kan bruges i arbejdet med børn og unge.</w:t>
      </w:r>
    </w:p>
    <w:p w:rsidR="00A07506" w:rsidRPr="008D25FA" w:rsidRDefault="00A07506" w:rsidP="00A07506"/>
    <w:p w:rsidR="00A07506" w:rsidRPr="008D25FA" w:rsidRDefault="00A07506" w:rsidP="00A07506">
      <w:pPr>
        <w:rPr>
          <w:u w:val="single"/>
        </w:rPr>
      </w:pPr>
      <w:r w:rsidRPr="008D25FA">
        <w:rPr>
          <w:u w:val="single"/>
        </w:rPr>
        <w:t>Bæredygtige konsekvenser</w:t>
      </w:r>
    </w:p>
    <w:p w:rsidR="00A07506" w:rsidRPr="00285874" w:rsidRDefault="00A07506" w:rsidP="00A07506">
      <w:r w:rsidRPr="00285874">
        <w:t xml:space="preserve">Qeqqata Kommunia vil styrke og bane vejen til at udvikle områderne i fritid og kultur samt idræt i byerne og bygderne. </w:t>
      </w:r>
      <w:r>
        <w:t>Kurserne afholdes</w:t>
      </w:r>
      <w:r w:rsidRPr="00285874">
        <w:t xml:space="preserve"> for medarbejderne i fritidsområdet </w:t>
      </w:r>
      <w:r>
        <w:t xml:space="preserve">i Maniitsoq, </w:t>
      </w:r>
      <w:proofErr w:type="spellStart"/>
      <w:r w:rsidRPr="00285874">
        <w:t>Kangaamiut</w:t>
      </w:r>
      <w:proofErr w:type="spellEnd"/>
      <w:r w:rsidRPr="00285874">
        <w:t xml:space="preserve"> og Sisimiut, </w:t>
      </w:r>
      <w:r>
        <w:t>hvor fritidspersonalet fra bygderne også deltager i kurserne i Maniitsoq og i Sisimiut.</w:t>
      </w:r>
    </w:p>
    <w:p w:rsidR="00A07506" w:rsidRPr="008D25FA" w:rsidRDefault="00A07506" w:rsidP="00A07506"/>
    <w:p w:rsidR="00A07506" w:rsidRPr="008D25FA" w:rsidRDefault="00A07506" w:rsidP="00A07506">
      <w:pPr>
        <w:rPr>
          <w:u w:val="single"/>
        </w:rPr>
      </w:pPr>
      <w:r w:rsidRPr="008D25FA">
        <w:rPr>
          <w:u w:val="single"/>
        </w:rPr>
        <w:t>Økonomiske og administrative konsekvenser</w:t>
      </w:r>
    </w:p>
    <w:p w:rsidR="00A07506" w:rsidRDefault="00A07506" w:rsidP="00A07506">
      <w:r w:rsidRPr="00A7655D">
        <w:t>Ubrugte kursusmidler blev fordelt imellem områderne i Qeqqata Kommunia, hvor der blev tildelt kr. 150.000, - til Område for Uddannelse i Maniitsoq, og kr. 150.000, - til Område for Uddannelse i Sisimiut. Midlerne er til styrkelse af fritidsområdet.</w:t>
      </w:r>
    </w:p>
    <w:p w:rsidR="00A07506" w:rsidRDefault="00A07506" w:rsidP="00A07506">
      <w:r>
        <w:t>Personalet fra bygderne får transport og logi betalt. Der er kursusforplejning og leje af kursussted, samt rejse og logi til kursusholderen, som er fritidsinspektøren i Maniitsoq.</w:t>
      </w:r>
    </w:p>
    <w:p w:rsidR="00A07506" w:rsidRPr="00A7655D" w:rsidRDefault="00A07506" w:rsidP="00A07506"/>
    <w:p w:rsidR="00A07506" w:rsidRPr="008D25FA" w:rsidRDefault="00A07506" w:rsidP="00A07506">
      <w:r w:rsidRPr="00A7655D">
        <w:t>Planlægningen og realisering af kurserne til styrkelse af fritidsområdet er udført af fritidsinspektøren i Maniitsoq.</w:t>
      </w:r>
    </w:p>
    <w:p w:rsidR="00A07506" w:rsidRPr="008D25FA" w:rsidRDefault="00A07506" w:rsidP="00A07506"/>
    <w:p w:rsidR="00A07506" w:rsidRPr="008D25FA" w:rsidRDefault="00A07506" w:rsidP="00A07506">
      <w:pPr>
        <w:rPr>
          <w:u w:val="single"/>
        </w:rPr>
      </w:pPr>
      <w:r w:rsidRPr="008D25FA">
        <w:rPr>
          <w:u w:val="single"/>
        </w:rPr>
        <w:t>Administrationens vurdering</w:t>
      </w:r>
    </w:p>
    <w:p w:rsidR="00A07506" w:rsidRDefault="00A07506" w:rsidP="00A07506">
      <w:r>
        <w:t xml:space="preserve">Personalet på fritidsområdet er ofte lavt uddannede eller ufaglærte. Derfor har disse kurser stor betydning for deling og udvikling af kompetencer blandt personalet, der gerne skal resultere i mere fagligt funderet pædagogik på fritidsområdet. Personalet får mere selvsikkerhed igennem </w:t>
      </w:r>
      <w:r>
        <w:lastRenderedPageBreak/>
        <w:t>erhvervelse af forskellige pædagogiske metoder, og børnene og de unge får bedre fritidstilbud på denne måde.</w:t>
      </w:r>
    </w:p>
    <w:p w:rsidR="00A07506" w:rsidRPr="008D25FA" w:rsidRDefault="00A07506" w:rsidP="00A07506">
      <w:r>
        <w:t>Der aftales mødedatoer for fremtidige samarbejdsmøder på tværs, for dette tværfaglige samarbejde kan konsolideres også på denne måde.</w:t>
      </w:r>
    </w:p>
    <w:p w:rsidR="00A07506" w:rsidRPr="008D25FA" w:rsidRDefault="00A07506" w:rsidP="00A07506"/>
    <w:p w:rsidR="00A07506" w:rsidRDefault="00A07506" w:rsidP="00A07506"/>
    <w:p w:rsidR="00A07506" w:rsidRPr="008D25FA" w:rsidRDefault="00A07506" w:rsidP="00A07506"/>
    <w:p w:rsidR="00A07506" w:rsidRPr="008D25FA" w:rsidRDefault="00A07506" w:rsidP="00A07506">
      <w:pPr>
        <w:rPr>
          <w:b/>
        </w:rPr>
      </w:pPr>
      <w:r w:rsidRPr="008D25FA">
        <w:rPr>
          <w:b/>
        </w:rPr>
        <w:t>Indstilling</w:t>
      </w:r>
    </w:p>
    <w:p w:rsidR="00A07506" w:rsidRPr="008D25FA" w:rsidRDefault="00A07506" w:rsidP="00A07506">
      <w:r w:rsidRPr="008D25FA">
        <w:t xml:space="preserve">Sagen forelægges til </w:t>
      </w:r>
      <w:r>
        <w:t>Udvalget for Uddannelse til orientering.</w:t>
      </w:r>
    </w:p>
    <w:p w:rsidR="00A07506" w:rsidRPr="008D25FA" w:rsidRDefault="00A07506" w:rsidP="00A07506"/>
    <w:p w:rsidR="00A07506" w:rsidRPr="008D25FA" w:rsidRDefault="00A07506" w:rsidP="00A07506"/>
    <w:p w:rsidR="00A07506" w:rsidRPr="008D25FA" w:rsidRDefault="00A07506" w:rsidP="00A07506">
      <w:pPr>
        <w:rPr>
          <w:b/>
        </w:rPr>
      </w:pPr>
      <w:r w:rsidRPr="008D25FA">
        <w:rPr>
          <w:b/>
        </w:rPr>
        <w:t>Afgørelse</w:t>
      </w:r>
    </w:p>
    <w:p w:rsidR="00A07506" w:rsidRDefault="00A07506" w:rsidP="00A07506"/>
    <w:p w:rsidR="00AA07A2" w:rsidRPr="008D25FA" w:rsidRDefault="00AA07A2" w:rsidP="00A07506">
      <w:r w:rsidRPr="00AA07A2">
        <w:rPr>
          <w:bCs/>
        </w:rPr>
        <w:t>Taget til efterretning.</w:t>
      </w:r>
    </w:p>
    <w:p w:rsidR="00A07506" w:rsidRPr="008D25FA" w:rsidRDefault="00A07506" w:rsidP="00A07506">
      <w:pPr>
        <w:rPr>
          <w:bCs/>
        </w:rPr>
      </w:pPr>
    </w:p>
    <w:p w:rsidR="00A07506" w:rsidRPr="008D25FA" w:rsidRDefault="00A07506" w:rsidP="00A07506">
      <w:pPr>
        <w:rPr>
          <w:b/>
        </w:rPr>
      </w:pPr>
      <w:r w:rsidRPr="008D25FA">
        <w:rPr>
          <w:b/>
        </w:rPr>
        <w:t>Bilag</w:t>
      </w:r>
    </w:p>
    <w:p w:rsidR="00A07506" w:rsidRPr="008D25FA" w:rsidRDefault="00A07506" w:rsidP="00A07506">
      <w:pPr>
        <w:numPr>
          <w:ilvl w:val="0"/>
          <w:numId w:val="36"/>
        </w:numPr>
        <w:tabs>
          <w:tab w:val="clear" w:pos="284"/>
        </w:tabs>
      </w:pPr>
      <w:r>
        <w:rPr>
          <w:bCs/>
        </w:rPr>
        <w:t>Program for kurserne</w:t>
      </w:r>
    </w:p>
    <w:p w:rsidR="00322E82" w:rsidRDefault="00322E82">
      <w:pPr>
        <w:tabs>
          <w:tab w:val="clear" w:pos="284"/>
        </w:tabs>
        <w:spacing w:after="160" w:line="259" w:lineRule="auto"/>
        <w:rPr>
          <w:rFonts w:eastAsia="MS Gothic"/>
          <w:b/>
          <w:sz w:val="28"/>
          <w:szCs w:val="28"/>
        </w:rPr>
      </w:pPr>
      <w:r>
        <w:rPr>
          <w:sz w:val="28"/>
          <w:szCs w:val="28"/>
        </w:rPr>
        <w:br w:type="page"/>
      </w:r>
    </w:p>
    <w:p w:rsidR="00322E82" w:rsidRDefault="007F7893" w:rsidP="00322E82">
      <w:pPr>
        <w:pStyle w:val="Overskrift1"/>
        <w:rPr>
          <w:rFonts w:ascii="Times New Roman" w:hAnsi="Times New Roman"/>
          <w:b w:val="0"/>
          <w:color w:val="auto"/>
          <w:sz w:val="28"/>
          <w:szCs w:val="28"/>
          <w:lang w:val="kl-GL"/>
        </w:rPr>
      </w:pPr>
      <w:r>
        <w:rPr>
          <w:rFonts w:ascii="Times New Roman" w:hAnsi="Times New Roman"/>
          <w:color w:val="auto"/>
          <w:sz w:val="28"/>
          <w:szCs w:val="28"/>
        </w:rPr>
        <w:lastRenderedPageBreak/>
        <w:t xml:space="preserve">Punkt 14 </w:t>
      </w:r>
      <w:r w:rsidR="00322E82">
        <w:rPr>
          <w:rFonts w:ascii="Times New Roman" w:hAnsi="Times New Roman"/>
          <w:color w:val="auto"/>
          <w:sz w:val="28"/>
          <w:szCs w:val="28"/>
        </w:rPr>
        <w:t>Møde om resultater fra generalforsamlingen for Inuit ledere i Nuuk den 29. oktober 2019.</w:t>
      </w:r>
      <w:r w:rsidR="00322E82">
        <w:rPr>
          <w:rFonts w:ascii="Times New Roman" w:hAnsi="Times New Roman"/>
          <w:b w:val="0"/>
          <w:color w:val="auto"/>
          <w:sz w:val="28"/>
          <w:szCs w:val="28"/>
        </w:rPr>
        <w:t xml:space="preserve"> </w:t>
      </w:r>
    </w:p>
    <w:p w:rsidR="00322E82" w:rsidRDefault="00322E82" w:rsidP="00322E82">
      <w:pPr>
        <w:pStyle w:val="Overskrift1"/>
        <w:rPr>
          <w:rFonts w:ascii="Times New Roman" w:hAnsi="Times New Roman"/>
          <w:color w:val="auto"/>
          <w:lang w:val="kl-GL"/>
        </w:rPr>
      </w:pPr>
      <w:r>
        <w:rPr>
          <w:rFonts w:ascii="Times New Roman" w:hAnsi="Times New Roman"/>
          <w:b w:val="0"/>
          <w:color w:val="auto"/>
          <w:sz w:val="22"/>
        </w:rPr>
        <w:t>Journal nr. 51.00</w:t>
      </w:r>
    </w:p>
    <w:p w:rsidR="00322E82" w:rsidRDefault="00322E82" w:rsidP="00322E82">
      <w:pPr>
        <w:rPr>
          <w:lang w:val="kl-GL"/>
        </w:rPr>
      </w:pPr>
    </w:p>
    <w:p w:rsidR="00322E82" w:rsidRDefault="00322E82" w:rsidP="00322E82">
      <w:pPr>
        <w:rPr>
          <w:szCs w:val="24"/>
          <w:u w:val="single"/>
          <w:lang w:val="kl-GL"/>
        </w:rPr>
      </w:pPr>
      <w:r>
        <w:rPr>
          <w:szCs w:val="24"/>
          <w:u w:val="single"/>
        </w:rPr>
        <w:t>Baggrund</w:t>
      </w:r>
    </w:p>
    <w:p w:rsidR="00322E82" w:rsidRDefault="00322E82" w:rsidP="00322E82">
      <w:pPr>
        <w:rPr>
          <w:szCs w:val="24"/>
          <w:lang w:val="kl-GL"/>
        </w:rPr>
      </w:pPr>
      <w:r>
        <w:rPr>
          <w:szCs w:val="24"/>
        </w:rPr>
        <w:t xml:space="preserve">Siden ICC holdt den første generelforsamling i 1977 i </w:t>
      </w:r>
      <w:proofErr w:type="spellStart"/>
      <w:r>
        <w:rPr>
          <w:szCs w:val="24"/>
        </w:rPr>
        <w:t>Barrow</w:t>
      </w:r>
      <w:proofErr w:type="spellEnd"/>
      <w:r>
        <w:rPr>
          <w:szCs w:val="24"/>
        </w:rPr>
        <w:t>, har punktet om at styrke Inuitternes Uddannelse og Sprog altid være med i dagsordenen. I ICC`s bestemmelse 77-01 er befalingen "At der skal arbejdes med undersøgelse, drøftelse, offentliggørelse, påvirkning og beskyttelse af Inuit interesser, da man har behov for en organisation blandt de forskellige lande. Derfor fastlægges det:” og under § 3 står det skrevet mere tydeligt: “At så vidt muligt bevare, genanvendelse og udvikling af Inuitternes sprog og kultur;”</w:t>
      </w:r>
    </w:p>
    <w:p w:rsidR="00322E82" w:rsidRDefault="00322E82" w:rsidP="00322E82">
      <w:pPr>
        <w:rPr>
          <w:szCs w:val="24"/>
          <w:lang w:val="kl-GL"/>
        </w:rPr>
      </w:pPr>
      <w:r>
        <w:rPr>
          <w:szCs w:val="24"/>
        </w:rPr>
        <w:t>Siden 1983 har ICC drøftet, hvilke indhold der skal være i en Arktisk politik. Resultaterne af drøftelserne er, at ICC`s "principper og indholdet af Arktisk politik" fra 1992 blev godkendt. Denne store arbejde indeholder mange forholde omkring Arktis, f.eks. omkring styrkelse af Inuitternes sprog og kultur.</w:t>
      </w:r>
    </w:p>
    <w:p w:rsidR="00322E82" w:rsidRDefault="00322E82" w:rsidP="00322E82">
      <w:pPr>
        <w:rPr>
          <w:szCs w:val="24"/>
          <w:lang w:val="kl-GL"/>
        </w:rPr>
      </w:pPr>
    </w:p>
    <w:p w:rsidR="00322E82" w:rsidRDefault="00322E82" w:rsidP="00322E82">
      <w:pPr>
        <w:rPr>
          <w:szCs w:val="24"/>
          <w:lang w:val="kl-GL"/>
        </w:rPr>
      </w:pPr>
      <w:r>
        <w:rPr>
          <w:szCs w:val="24"/>
        </w:rPr>
        <w:t xml:space="preserve">Deltagerne under ACC generalforsamling i 2014 har bemyndiget bestyrelsen for ICC til at afholde et møde om Inuitternes uddannelse, under ICC møde med 4 års mellemrum. Under afslutningen af 3 dages generalforsamling, er bestyrelsen for ICC anmodet om, at man skal lave en rapport fra dette møde, dermed kunne afdelingerne for ICC være behjælpelige med at vurdere det offentliggjorte arbejde og resultater. I bilaget for den endelige rapport er der i sidste sætning skrevet, at man forventer, at alle ICC lande "skal samarbejde med bestyrelser, medlemmer og uddannelsessteder komme med anbefalinger til næstkommende ICC generalforsamling, der afholdes i </w:t>
      </w:r>
      <w:proofErr w:type="spellStart"/>
      <w:r>
        <w:rPr>
          <w:szCs w:val="24"/>
        </w:rPr>
        <w:t>Ukqiagvik</w:t>
      </w:r>
      <w:proofErr w:type="spellEnd"/>
      <w:r>
        <w:rPr>
          <w:szCs w:val="24"/>
        </w:rPr>
        <w:t xml:space="preserve"> i Alaska juli 2018. </w:t>
      </w:r>
    </w:p>
    <w:p w:rsidR="00322E82" w:rsidRDefault="00322E82" w:rsidP="00322E82">
      <w:pPr>
        <w:rPr>
          <w:szCs w:val="24"/>
          <w:lang w:val="kl-GL"/>
        </w:rPr>
      </w:pPr>
      <w:r>
        <w:rPr>
          <w:szCs w:val="24"/>
        </w:rPr>
        <w:t xml:space="preserve">Rapporten fra </w:t>
      </w:r>
      <w:proofErr w:type="spellStart"/>
      <w:r>
        <w:rPr>
          <w:szCs w:val="24"/>
        </w:rPr>
        <w:t>Utqiavik</w:t>
      </w:r>
      <w:proofErr w:type="spellEnd"/>
      <w:r>
        <w:rPr>
          <w:szCs w:val="24"/>
        </w:rPr>
        <w:t xml:space="preserve"> af 19. juli 2018 indeholder anbefalinger om Uddannelse og Sprog:</w:t>
      </w:r>
    </w:p>
    <w:p w:rsidR="00322E82" w:rsidRDefault="00322E82" w:rsidP="00322E82">
      <w:pPr>
        <w:rPr>
          <w:szCs w:val="24"/>
          <w:lang w:val="kl-GL"/>
        </w:rPr>
      </w:pPr>
      <w:r>
        <w:rPr>
          <w:szCs w:val="24"/>
        </w:rPr>
        <w:t>“Vores sprog er centralt baggrund for vores kultur. Det haster og berører alle at genopfriske og beskytte vores sprog gennem lov. Såfremt vores sprog fortsat skal være stærkt, må det rette myndigheder oprette skoler og uddannelsessteder med Inuit sprog.</w:t>
      </w:r>
    </w:p>
    <w:p w:rsidR="00322E82" w:rsidRDefault="00322E82" w:rsidP="00322E82">
      <w:pPr>
        <w:rPr>
          <w:szCs w:val="24"/>
          <w:lang w:val="kl-GL"/>
        </w:rPr>
      </w:pPr>
      <w:r>
        <w:rPr>
          <w:szCs w:val="24"/>
        </w:rPr>
        <w:t>Den hidtil uddannelsesmetode der er blevet benyttet har ikke hjulpet, og vi må tage nye læringsmetoder der afspejler vores værdier, kultur og sprog. Sprog og uddannelse understøtter vores kultur, og for Inuitternes fangstmetoder, forråd, og fremgangsmåde omkring fødevarer, som skal være udgangspunkt for uddannelse om kultur. ICC støtter, at Inuitternes gamle fangsttraditioner skal være udgangspunkt i vores fastholdelse af kulturen.</w:t>
      </w:r>
    </w:p>
    <w:p w:rsidR="00322E82" w:rsidRDefault="00322E82" w:rsidP="00322E82">
      <w:pPr>
        <w:rPr>
          <w:szCs w:val="24"/>
          <w:lang w:val="kl-GL"/>
        </w:rPr>
      </w:pPr>
      <w:r>
        <w:rPr>
          <w:szCs w:val="24"/>
        </w:rPr>
        <w:t>ICC`s generelforsamling om uddannelse, som er arrangeret af ICC Grønland, er den første af sin art af generelforsamling om Inuitternes uddannelse. Der er flere vigtige anbefalinger fra konklusionen.</w:t>
      </w:r>
    </w:p>
    <w:p w:rsidR="00322E82" w:rsidRDefault="00322E82" w:rsidP="00322E82">
      <w:pPr>
        <w:rPr>
          <w:szCs w:val="24"/>
          <w:lang w:val="kl-GL"/>
        </w:rPr>
      </w:pPr>
    </w:p>
    <w:p w:rsidR="00322E82" w:rsidRDefault="00322E82" w:rsidP="00322E82">
      <w:pPr>
        <w:rPr>
          <w:szCs w:val="24"/>
          <w:lang w:val="kl-GL"/>
        </w:rPr>
      </w:pPr>
      <w:r>
        <w:rPr>
          <w:szCs w:val="24"/>
        </w:rPr>
        <w:t>ICC anmodes:</w:t>
      </w:r>
    </w:p>
    <w:p w:rsidR="00322E82" w:rsidRDefault="00322E82" w:rsidP="00322E82">
      <w:pPr>
        <w:rPr>
          <w:szCs w:val="24"/>
          <w:lang w:val="kl-GL"/>
        </w:rPr>
      </w:pPr>
      <w:r>
        <w:rPr>
          <w:szCs w:val="24"/>
        </w:rPr>
        <w:t>At Inuit uddannelse skal understøttes til at oprette en Udvalg med medlemmer fra alle Inuit lande, og for at realisere anbefalingerne fra ICC Grønlands generalforsamling om uddannelse fra 2018, skal man bl.a.:</w:t>
      </w:r>
    </w:p>
    <w:p w:rsidR="00322E82" w:rsidRDefault="00322E82" w:rsidP="00322E82">
      <w:pPr>
        <w:rPr>
          <w:szCs w:val="24"/>
          <w:lang w:val="kl-GL"/>
        </w:rPr>
      </w:pPr>
      <w:r>
        <w:rPr>
          <w:szCs w:val="24"/>
        </w:rPr>
        <w:t xml:space="preserve">a. at man skal støtte udvikling og realisering med udgangspunkt i personlige ressourcer for uddannelsestiltag for Inuit gennem pædagogik, vurdering og gennemførelse af vurderinger, lektie, og tiltag for undervisnings materiale. </w:t>
      </w:r>
    </w:p>
    <w:p w:rsidR="00322E82" w:rsidRDefault="00322E82" w:rsidP="00322E82">
      <w:pPr>
        <w:rPr>
          <w:szCs w:val="24"/>
          <w:lang w:val="kl-GL"/>
        </w:rPr>
      </w:pPr>
      <w:r>
        <w:rPr>
          <w:szCs w:val="24"/>
        </w:rPr>
        <w:t>b. at Inuitternes uddannelse, som tager udgangspunkt i omgivelserne, ældres erfaringer og viden om vores historie, sprog og kultur skal styrkes og ændres;</w:t>
      </w:r>
    </w:p>
    <w:p w:rsidR="00322E82" w:rsidRDefault="00322E82" w:rsidP="00322E82">
      <w:pPr>
        <w:rPr>
          <w:szCs w:val="24"/>
          <w:lang w:val="kl-GL"/>
        </w:rPr>
      </w:pPr>
      <w:r>
        <w:rPr>
          <w:szCs w:val="24"/>
        </w:rPr>
        <w:t>c. At man skal påvirke uddannelsesstederne og politiske beslutningstagere, for at støtte oprettelse af en fond, der skal finansiere udviklingen og realiseringen;</w:t>
      </w:r>
    </w:p>
    <w:p w:rsidR="00322E82" w:rsidRDefault="00322E82" w:rsidP="00322E82">
      <w:pPr>
        <w:rPr>
          <w:szCs w:val="24"/>
          <w:lang w:val="kl-GL"/>
        </w:rPr>
      </w:pPr>
      <w:r>
        <w:rPr>
          <w:szCs w:val="24"/>
        </w:rPr>
        <w:lastRenderedPageBreak/>
        <w:t>d. at ICC skal opfodres til videredeling af gode erfaringer med det formål, at udvikle Inuitternes sprog og skrift;</w:t>
      </w:r>
    </w:p>
    <w:p w:rsidR="00322E82" w:rsidRDefault="00322E82" w:rsidP="00322E82">
      <w:pPr>
        <w:rPr>
          <w:szCs w:val="24"/>
          <w:lang w:val="kl-GL"/>
        </w:rPr>
      </w:pPr>
      <w:r>
        <w:rPr>
          <w:szCs w:val="24"/>
        </w:rPr>
        <w:t>e. der opfordres ligeledes til, at der vejledes for at sprede Inuitternes erfaringer fra uddannelsen.</w:t>
      </w:r>
    </w:p>
    <w:p w:rsidR="00322E82" w:rsidRDefault="00322E82" w:rsidP="00322E82">
      <w:pPr>
        <w:rPr>
          <w:szCs w:val="24"/>
          <w:lang w:val="kl-GL"/>
        </w:rPr>
      </w:pPr>
      <w:r>
        <w:rPr>
          <w:szCs w:val="24"/>
        </w:rPr>
        <w:t xml:space="preserve">f. at man skal støtte </w:t>
      </w:r>
      <w:proofErr w:type="spellStart"/>
      <w:r>
        <w:rPr>
          <w:szCs w:val="24"/>
        </w:rPr>
        <w:t>University</w:t>
      </w:r>
      <w:proofErr w:type="spellEnd"/>
      <w:r>
        <w:rPr>
          <w:szCs w:val="24"/>
        </w:rPr>
        <w:t xml:space="preserve"> og the </w:t>
      </w:r>
      <w:proofErr w:type="spellStart"/>
      <w:r>
        <w:rPr>
          <w:szCs w:val="24"/>
        </w:rPr>
        <w:t>Arcric</w:t>
      </w:r>
      <w:proofErr w:type="spellEnd"/>
      <w:r>
        <w:rPr>
          <w:szCs w:val="24"/>
        </w:rPr>
        <w:t xml:space="preserve">, for deres støtte den høje service for Inuitternes uddannelse </w:t>
      </w:r>
      <w:proofErr w:type="gramStart"/>
      <w:r>
        <w:rPr>
          <w:szCs w:val="24"/>
        </w:rPr>
        <w:t>udenfor</w:t>
      </w:r>
      <w:proofErr w:type="gramEnd"/>
      <w:r>
        <w:rPr>
          <w:szCs w:val="24"/>
        </w:rPr>
        <w:t xml:space="preserve"> det Arktiske land og da den også baner vejen for veksling mellem elever og forskere.</w:t>
      </w:r>
    </w:p>
    <w:p w:rsidR="00322E82" w:rsidRDefault="00322E82" w:rsidP="00322E82">
      <w:pPr>
        <w:rPr>
          <w:lang w:val="kl-GL"/>
        </w:rPr>
      </w:pPr>
    </w:p>
    <w:p w:rsidR="00322E82" w:rsidRDefault="00322E82" w:rsidP="00322E82">
      <w:pPr>
        <w:rPr>
          <w:u w:val="single"/>
          <w:lang w:val="kl-GL"/>
        </w:rPr>
      </w:pPr>
      <w:r>
        <w:rPr>
          <w:u w:val="single"/>
        </w:rPr>
        <w:t>Regelgrundlag</w:t>
      </w:r>
    </w:p>
    <w:p w:rsidR="00322E82" w:rsidRDefault="00322E82" w:rsidP="00322E82">
      <w:pPr>
        <w:rPr>
          <w:szCs w:val="24"/>
          <w:lang w:val="kl-GL"/>
        </w:rPr>
      </w:pPr>
      <w:proofErr w:type="spellStart"/>
      <w:r>
        <w:rPr>
          <w:szCs w:val="24"/>
        </w:rPr>
        <w:t>Inatsisartutlov</w:t>
      </w:r>
      <w:proofErr w:type="spellEnd"/>
      <w:r>
        <w:rPr>
          <w:szCs w:val="24"/>
        </w:rPr>
        <w:t xml:space="preserve"> nr. 15 af 3. december 2012 om folkeskolen.</w:t>
      </w:r>
    </w:p>
    <w:p w:rsidR="00322E82" w:rsidRDefault="00322E82" w:rsidP="00322E82">
      <w:pPr>
        <w:rPr>
          <w:lang w:val="kl-GL"/>
        </w:rPr>
      </w:pPr>
    </w:p>
    <w:p w:rsidR="00322E82" w:rsidRDefault="00322E82" w:rsidP="00322E82">
      <w:pPr>
        <w:rPr>
          <w:u w:val="single"/>
          <w:lang w:val="kl-GL"/>
        </w:rPr>
      </w:pPr>
      <w:r>
        <w:rPr>
          <w:u w:val="single"/>
        </w:rPr>
        <w:t>Faktiske forhold</w:t>
      </w:r>
    </w:p>
    <w:p w:rsidR="00322E82" w:rsidRDefault="00322E82" w:rsidP="00322E82">
      <w:pPr>
        <w:rPr>
          <w:lang w:val="kl-GL"/>
        </w:rPr>
      </w:pPr>
      <w:r>
        <w:t xml:space="preserve">ICC Grønland har den 29. oktober 2019 afholdt møde for formænd for uddannelsesudvalgene i kommunerne, hvor ICC ønsker samarbejde om realisering af resultater fra Inuit generelforsamling </w:t>
      </w:r>
      <w:proofErr w:type="gramStart"/>
      <w:r>
        <w:t>om  uddannelse</w:t>
      </w:r>
      <w:proofErr w:type="gramEnd"/>
      <w:r>
        <w:t>.</w:t>
      </w:r>
    </w:p>
    <w:p w:rsidR="00322E82" w:rsidRDefault="00322E82" w:rsidP="00322E82">
      <w:pPr>
        <w:rPr>
          <w:lang w:val="kl-GL"/>
        </w:rPr>
      </w:pPr>
      <w:r>
        <w:t xml:space="preserve">Under mødet blev folkeskoler, erfaringer fra uddannelser, </w:t>
      </w:r>
      <w:proofErr w:type="spellStart"/>
      <w:r>
        <w:t>udfodringer</w:t>
      </w:r>
      <w:proofErr w:type="spellEnd"/>
      <w:r>
        <w:t xml:space="preserve"> og succes drøftet. Bl.a. drøftede man, at da Grønlad har større erfaring i forhold til vores stammefrænder, som har meget at give, hvorfor man ønsker samarbejde. Når man ser på, at sprogene i nogle af vores stammefrænder er ved at forsvinde, kan vores stammefrænder lærer noget fra hvordan vi bruger vores sprog, uddannelse og hvordan vi udarbejder materiale til uddannelse. Det vurderes, at vores frænders større brug af kulturen, respekt for deres ældre kan være fordele at benytte i grønlandske uddannelsessteder.</w:t>
      </w:r>
    </w:p>
    <w:p w:rsidR="00322E82" w:rsidRDefault="00322E82" w:rsidP="00322E82">
      <w:pPr>
        <w:rPr>
          <w:lang w:val="kl-GL"/>
        </w:rPr>
      </w:pPr>
    </w:p>
    <w:p w:rsidR="00322E82" w:rsidRDefault="00322E82" w:rsidP="00322E82">
      <w:pPr>
        <w:rPr>
          <w:lang w:val="kl-GL"/>
        </w:rPr>
      </w:pPr>
      <w:r>
        <w:t xml:space="preserve">Alle øvrige deltagere kom frem til, at der skal oprettes en ICC råd, som har medlemmer fra samtlige kommuner, da alle deltagere anser denne drøftelse som værdig, og man ønsker at samarbejde.  Man ønsker at være mere opmærksom på, hvad er er succes i kommunerne, og at disse succes skal benyttes i </w:t>
      </w:r>
      <w:proofErr w:type="spellStart"/>
      <w:r>
        <w:t>grønland</w:t>
      </w:r>
      <w:proofErr w:type="spellEnd"/>
      <w:r>
        <w:t xml:space="preserve"> og vores frænder.</w:t>
      </w:r>
    </w:p>
    <w:p w:rsidR="00322E82" w:rsidRDefault="00322E82" w:rsidP="00322E82">
      <w:pPr>
        <w:rPr>
          <w:lang w:val="kl-GL"/>
        </w:rPr>
      </w:pPr>
    </w:p>
    <w:p w:rsidR="00322E82" w:rsidRDefault="00322E82" w:rsidP="00322E82">
      <w:pPr>
        <w:rPr>
          <w:lang w:val="kl-GL"/>
        </w:rPr>
      </w:pPr>
      <w:r>
        <w:t xml:space="preserve">Når referatet fra ICC er færdigt, skal man udmelde mere klare mål og målsætninger, og man ønsker at opnår, at der afholdes seminar om uddannelse i </w:t>
      </w:r>
      <w:proofErr w:type="spellStart"/>
      <w:r>
        <w:t>arktis</w:t>
      </w:r>
      <w:proofErr w:type="spellEnd"/>
      <w:r>
        <w:t>.</w:t>
      </w:r>
    </w:p>
    <w:p w:rsidR="00322E82" w:rsidRDefault="00322E82" w:rsidP="00322E82">
      <w:pPr>
        <w:rPr>
          <w:lang w:val="kl-GL"/>
        </w:rPr>
      </w:pPr>
    </w:p>
    <w:p w:rsidR="00322E82" w:rsidRDefault="00322E82" w:rsidP="00322E82">
      <w:pPr>
        <w:rPr>
          <w:szCs w:val="24"/>
          <w:u w:val="single"/>
          <w:lang w:val="kl-GL"/>
        </w:rPr>
      </w:pPr>
      <w:r>
        <w:rPr>
          <w:szCs w:val="24"/>
          <w:u w:val="single"/>
        </w:rPr>
        <w:t>Bæredygtige konsekvenser</w:t>
      </w:r>
    </w:p>
    <w:p w:rsidR="00322E82" w:rsidRDefault="00322E82" w:rsidP="00322E82">
      <w:pPr>
        <w:rPr>
          <w:szCs w:val="24"/>
          <w:lang w:val="kl-GL"/>
        </w:rPr>
      </w:pPr>
      <w:r>
        <w:rPr>
          <w:szCs w:val="24"/>
        </w:rPr>
        <w:t>Den gældende lovgivning om uddannelse i Grønland kan have bæredygtige konsekvenser, hvis der samarbejdes omkring sprog, mad og kultur.</w:t>
      </w:r>
    </w:p>
    <w:p w:rsidR="00322E82" w:rsidRDefault="00322E82" w:rsidP="00322E82">
      <w:pPr>
        <w:rPr>
          <w:szCs w:val="24"/>
          <w:lang w:val="kl-GL"/>
        </w:rPr>
      </w:pPr>
    </w:p>
    <w:p w:rsidR="00322E82" w:rsidRDefault="00322E82" w:rsidP="00322E82">
      <w:pPr>
        <w:rPr>
          <w:szCs w:val="24"/>
          <w:u w:val="single"/>
          <w:lang w:val="kl-GL"/>
        </w:rPr>
      </w:pPr>
      <w:r>
        <w:rPr>
          <w:szCs w:val="24"/>
          <w:u w:val="single"/>
        </w:rPr>
        <w:t>Økonomiske og administrative konsekvenser</w:t>
      </w:r>
    </w:p>
    <w:p w:rsidR="00322E82" w:rsidRDefault="00322E82" w:rsidP="00322E82">
      <w:pPr>
        <w:rPr>
          <w:szCs w:val="24"/>
          <w:lang w:val="kl-GL"/>
        </w:rPr>
      </w:pPr>
      <w:r>
        <w:rPr>
          <w:szCs w:val="24"/>
        </w:rPr>
        <w:t>ICC har som arrangør betalt for mødet og forplejning. Kommunens udgift har været rejse og ophold for deltagerne fra Qeqqata Kommunia.</w:t>
      </w:r>
    </w:p>
    <w:p w:rsidR="00322E82" w:rsidRDefault="00322E82" w:rsidP="00322E82">
      <w:pPr>
        <w:rPr>
          <w:szCs w:val="24"/>
          <w:lang w:val="kl-GL"/>
        </w:rPr>
      </w:pPr>
    </w:p>
    <w:p w:rsidR="00322E82" w:rsidRDefault="00322E82" w:rsidP="00322E82">
      <w:pPr>
        <w:rPr>
          <w:szCs w:val="24"/>
          <w:u w:val="single"/>
          <w:lang w:val="kl-GL"/>
        </w:rPr>
      </w:pPr>
      <w:r>
        <w:rPr>
          <w:szCs w:val="24"/>
          <w:u w:val="single"/>
        </w:rPr>
        <w:t>Administrationens vurdering</w:t>
      </w:r>
    </w:p>
    <w:p w:rsidR="00322E82" w:rsidRDefault="00322E82" w:rsidP="00322E82">
      <w:pPr>
        <w:rPr>
          <w:szCs w:val="24"/>
          <w:lang w:val="kl-GL"/>
        </w:rPr>
      </w:pPr>
      <w:r>
        <w:rPr>
          <w:szCs w:val="24"/>
        </w:rPr>
        <w:t xml:space="preserve">Ønske fra ICC om samarbejde med kommunerne er værdig. Samtlige kommuner støtter den ønskede oprettelse af råd, og man støtter mulighederne </w:t>
      </w:r>
      <w:proofErr w:type="gramStart"/>
      <w:r>
        <w:rPr>
          <w:szCs w:val="24"/>
        </w:rPr>
        <w:t>indenfor</w:t>
      </w:r>
      <w:proofErr w:type="gramEnd"/>
      <w:r>
        <w:rPr>
          <w:szCs w:val="24"/>
        </w:rPr>
        <w:t xml:space="preserve"> uddannelsen om sprog, mad og kultur og minde vores frænder indenfor lovgivningen. </w:t>
      </w:r>
    </w:p>
    <w:p w:rsidR="00322E82" w:rsidRDefault="00322E82" w:rsidP="00322E82">
      <w:pPr>
        <w:rPr>
          <w:lang w:val="kl-GL"/>
        </w:rPr>
      </w:pPr>
    </w:p>
    <w:p w:rsidR="00322E82" w:rsidRDefault="00322E82" w:rsidP="00322E82">
      <w:pPr>
        <w:rPr>
          <w:b/>
          <w:lang w:val="kl-GL"/>
        </w:rPr>
      </w:pPr>
      <w:r>
        <w:rPr>
          <w:b/>
        </w:rPr>
        <w:t>Indstilling</w:t>
      </w:r>
    </w:p>
    <w:p w:rsidR="00322E82" w:rsidRDefault="00322E82" w:rsidP="00322E82">
      <w:pPr>
        <w:rPr>
          <w:lang w:val="kl-GL"/>
        </w:rPr>
      </w:pPr>
      <w:r>
        <w:t>Administrationen indstiller, at Udvalget for Uddannelse godkender, at Qeqqata Kommunia støtter oprettelse af råd under ICC der skal arbejde med uddannelse for Inuit og at der skal være deltagelse.</w:t>
      </w:r>
    </w:p>
    <w:p w:rsidR="00322E82" w:rsidRDefault="00322E82" w:rsidP="00322E82">
      <w:pPr>
        <w:rPr>
          <w:lang w:val="kl-GL"/>
        </w:rPr>
      </w:pPr>
    </w:p>
    <w:p w:rsidR="00AA07A2" w:rsidRDefault="00AA07A2">
      <w:pPr>
        <w:tabs>
          <w:tab w:val="clear" w:pos="284"/>
        </w:tabs>
        <w:spacing w:after="160" w:line="259" w:lineRule="auto"/>
        <w:rPr>
          <w:b/>
        </w:rPr>
      </w:pPr>
      <w:r>
        <w:rPr>
          <w:b/>
        </w:rPr>
        <w:br w:type="page"/>
      </w:r>
    </w:p>
    <w:p w:rsidR="00322E82" w:rsidRDefault="00322E82" w:rsidP="00322E82">
      <w:pPr>
        <w:rPr>
          <w:b/>
          <w:lang w:val="kl-GL"/>
        </w:rPr>
      </w:pPr>
      <w:r>
        <w:rPr>
          <w:b/>
        </w:rPr>
        <w:lastRenderedPageBreak/>
        <w:t>Afgørelse</w:t>
      </w:r>
    </w:p>
    <w:p w:rsidR="00322E82" w:rsidRDefault="00322E82" w:rsidP="00322E82">
      <w:pPr>
        <w:rPr>
          <w:bCs/>
          <w:lang w:val="kl-GL"/>
        </w:rPr>
      </w:pPr>
    </w:p>
    <w:p w:rsidR="00AA07A2" w:rsidRPr="00AA07A2" w:rsidRDefault="00AA07A2" w:rsidP="00322E82">
      <w:r w:rsidRPr="00AA07A2">
        <w:rPr>
          <w:bCs/>
        </w:rPr>
        <w:t>Taget til efterretning.</w:t>
      </w:r>
    </w:p>
    <w:p w:rsidR="00322E82" w:rsidRDefault="00322E82" w:rsidP="00322E82">
      <w:pPr>
        <w:rPr>
          <w:bCs/>
          <w:lang w:val="kl-GL"/>
        </w:rPr>
      </w:pPr>
    </w:p>
    <w:p w:rsidR="00322E82" w:rsidRDefault="00322E82" w:rsidP="00322E82">
      <w:pPr>
        <w:rPr>
          <w:b/>
          <w:lang w:val="kl-GL"/>
        </w:rPr>
      </w:pPr>
      <w:r>
        <w:rPr>
          <w:b/>
        </w:rPr>
        <w:t>Bilag</w:t>
      </w:r>
    </w:p>
    <w:p w:rsidR="00322E82" w:rsidRDefault="00322E82" w:rsidP="00322E82">
      <w:pPr>
        <w:pStyle w:val="Listeafsnit"/>
        <w:numPr>
          <w:ilvl w:val="0"/>
          <w:numId w:val="45"/>
        </w:numPr>
        <w:rPr>
          <w:lang w:val="kl-GL"/>
        </w:rPr>
      </w:pPr>
      <w:r>
        <w:rPr>
          <w:bCs/>
        </w:rPr>
        <w:t>Referat af resultater fra generelforsamlingen for Inuit den 29. oktober 2019.</w:t>
      </w:r>
    </w:p>
    <w:p w:rsidR="00322E82" w:rsidRDefault="00322E82" w:rsidP="00322E82">
      <w:pPr>
        <w:pStyle w:val="Listeafsnit"/>
        <w:numPr>
          <w:ilvl w:val="0"/>
          <w:numId w:val="45"/>
        </w:numPr>
        <w:rPr>
          <w:lang w:val="kl-GL"/>
        </w:rPr>
      </w:pPr>
      <w:r>
        <w:t>Generalforsamling om uddannelse for Inuit af 13.-.15. februar 2018.</w:t>
      </w:r>
    </w:p>
    <w:p w:rsidR="00322E82" w:rsidRDefault="00322E82" w:rsidP="00322E82">
      <w:pPr>
        <w:pStyle w:val="Listeafsnit"/>
        <w:numPr>
          <w:ilvl w:val="0"/>
          <w:numId w:val="45"/>
        </w:numPr>
        <w:rPr>
          <w:lang w:val="kl-GL"/>
        </w:rPr>
      </w:pPr>
      <w:r>
        <w:t>SLUTBEMÆRKNING FOR GENERALFORSAMLINGEN OM UDDANNELSE FOR INUIT, Nuuk 13.-15. februar 20118</w:t>
      </w:r>
    </w:p>
    <w:p w:rsidR="00322E82" w:rsidRDefault="00322E82" w:rsidP="00322E82">
      <w:pPr>
        <w:pStyle w:val="Listeafsnit"/>
        <w:numPr>
          <w:ilvl w:val="0"/>
          <w:numId w:val="45"/>
        </w:numPr>
        <w:rPr>
          <w:lang w:val="kl-GL"/>
        </w:rPr>
      </w:pPr>
      <w:r>
        <w:t xml:space="preserve">Redegørelse for punkt 15d, ICC`s udvalg for Inuit uddannelse </w:t>
      </w:r>
      <w:proofErr w:type="spellStart"/>
      <w:r>
        <w:t>Iqaluit</w:t>
      </w:r>
      <w:proofErr w:type="spellEnd"/>
      <w:r>
        <w:t xml:space="preserve"> af 4.-6. april 2019.</w:t>
      </w:r>
    </w:p>
    <w:p w:rsidR="00322E82" w:rsidRDefault="00322E82" w:rsidP="00322E82">
      <w:pPr>
        <w:pStyle w:val="Listeafsnit"/>
        <w:numPr>
          <w:ilvl w:val="0"/>
          <w:numId w:val="45"/>
        </w:numPr>
        <w:rPr>
          <w:lang w:val="kl-GL"/>
        </w:rPr>
      </w:pPr>
      <w:r>
        <w:t>Deltagerliste til generelforsamlingen om Inuit uddannelse af 29. oktober</w:t>
      </w:r>
    </w:p>
    <w:p w:rsidR="009F5D4A" w:rsidRDefault="009F5D4A">
      <w:pPr>
        <w:tabs>
          <w:tab w:val="clear" w:pos="284"/>
        </w:tabs>
        <w:spacing w:after="160" w:line="259" w:lineRule="auto"/>
        <w:rPr>
          <w:rFonts w:eastAsia="MS Gothic"/>
          <w:b/>
          <w:color w:val="000000"/>
          <w:sz w:val="28"/>
          <w:szCs w:val="28"/>
          <w:lang w:eastAsia="ja-JP"/>
        </w:rPr>
      </w:pPr>
      <w:r>
        <w:rPr>
          <w:sz w:val="28"/>
          <w:szCs w:val="28"/>
          <w:lang w:eastAsia="ja-JP"/>
        </w:rPr>
        <w:br w:type="page"/>
      </w:r>
    </w:p>
    <w:p w:rsidR="009F5D4A" w:rsidRPr="00C57F9C" w:rsidRDefault="009F5D4A" w:rsidP="009F5D4A">
      <w:pPr>
        <w:pStyle w:val="Overskrift1"/>
        <w:rPr>
          <w:rFonts w:ascii="Times New Roman" w:hAnsi="Times New Roman"/>
          <w:b w:val="0"/>
          <w:sz w:val="28"/>
          <w:szCs w:val="28"/>
        </w:rPr>
      </w:pPr>
      <w:r>
        <w:rPr>
          <w:rFonts w:ascii="Times New Roman" w:hAnsi="Times New Roman"/>
          <w:sz w:val="28"/>
          <w:szCs w:val="28"/>
          <w:lang w:eastAsia="ja-JP"/>
        </w:rPr>
        <w:lastRenderedPageBreak/>
        <w:t>Punkt 15 Orientering</w:t>
      </w:r>
      <w:r w:rsidRPr="00C57F9C">
        <w:rPr>
          <w:rFonts w:ascii="Times New Roman" w:hAnsi="Times New Roman"/>
          <w:sz w:val="28"/>
          <w:szCs w:val="28"/>
          <w:lang w:eastAsia="ja-JP"/>
        </w:rPr>
        <w:t xml:space="preserve"> </w:t>
      </w:r>
      <w:r>
        <w:rPr>
          <w:rFonts w:ascii="Times New Roman" w:hAnsi="Times New Roman"/>
          <w:sz w:val="28"/>
          <w:szCs w:val="28"/>
          <w:lang w:eastAsia="ja-JP"/>
        </w:rPr>
        <w:t>om</w:t>
      </w:r>
      <w:r w:rsidRPr="00C57F9C">
        <w:rPr>
          <w:rFonts w:ascii="Times New Roman" w:hAnsi="Times New Roman"/>
          <w:sz w:val="28"/>
          <w:szCs w:val="28"/>
          <w:lang w:eastAsia="ja-JP"/>
        </w:rPr>
        <w:t xml:space="preserve"> formandens beslutning</w:t>
      </w:r>
      <w:r>
        <w:rPr>
          <w:rFonts w:ascii="Times New Roman" w:hAnsi="Times New Roman"/>
          <w:sz w:val="28"/>
          <w:szCs w:val="28"/>
          <w:lang w:eastAsia="ja-JP"/>
        </w:rPr>
        <w:t xml:space="preserve"> </w:t>
      </w:r>
      <w:r w:rsidRPr="00C57F9C">
        <w:rPr>
          <w:rFonts w:ascii="Times New Roman" w:hAnsi="Times New Roman"/>
          <w:sz w:val="28"/>
          <w:szCs w:val="28"/>
          <w:lang w:eastAsia="ja-JP"/>
        </w:rPr>
        <w:t>vedr. ansøgning om udefra kommende arbejdskraft</w:t>
      </w:r>
      <w:r>
        <w:rPr>
          <w:rFonts w:ascii="Times New Roman" w:hAnsi="Times New Roman"/>
          <w:sz w:val="28"/>
          <w:szCs w:val="28"/>
          <w:lang w:eastAsia="ja-JP"/>
        </w:rPr>
        <w:t xml:space="preserve"> i september måned.</w:t>
      </w:r>
    </w:p>
    <w:p w:rsidR="009F5D4A" w:rsidRPr="008D25FA" w:rsidRDefault="009F5D4A" w:rsidP="009F5D4A">
      <w:pPr>
        <w:pStyle w:val="Overskrift1"/>
        <w:rPr>
          <w:rFonts w:ascii="Times New Roman" w:hAnsi="Times New Roman"/>
          <w:i/>
          <w:sz w:val="32"/>
        </w:rPr>
      </w:pPr>
      <w:r w:rsidRPr="008D25FA">
        <w:rPr>
          <w:rFonts w:ascii="Times New Roman" w:hAnsi="Times New Roman"/>
          <w:b w:val="0"/>
          <w:i/>
          <w:sz w:val="22"/>
        </w:rPr>
        <w:t xml:space="preserve">Journal </w:t>
      </w:r>
      <w:r>
        <w:rPr>
          <w:rFonts w:ascii="Times New Roman" w:hAnsi="Times New Roman"/>
          <w:b w:val="0"/>
          <w:i/>
          <w:sz w:val="22"/>
        </w:rPr>
        <w:t>nr. 67.01.03</w:t>
      </w:r>
    </w:p>
    <w:p w:rsidR="009F5D4A" w:rsidRPr="008D25FA" w:rsidRDefault="009F5D4A" w:rsidP="009F5D4A"/>
    <w:p w:rsidR="009F5D4A" w:rsidRPr="008D25FA" w:rsidRDefault="009F5D4A" w:rsidP="009F5D4A">
      <w:pPr>
        <w:rPr>
          <w:u w:val="single"/>
        </w:rPr>
      </w:pPr>
      <w:r w:rsidRPr="008D25FA">
        <w:rPr>
          <w:u w:val="single"/>
        </w:rPr>
        <w:t>Baggrund</w:t>
      </w:r>
    </w:p>
    <w:p w:rsidR="009F5D4A" w:rsidRDefault="009F5D4A" w:rsidP="009F5D4A">
      <w:r>
        <w:t>Der er i september måned 2019, modtaget 1 ansøgning om ansættelse af udefra kommende arbejdskraft fra Hotel Maniitsoq, som er blevet fremstillet over for Uddannelsesudvalgets forkvinde.</w:t>
      </w:r>
    </w:p>
    <w:p w:rsidR="009F5D4A" w:rsidRDefault="009F5D4A" w:rsidP="009F5D4A"/>
    <w:p w:rsidR="009F5D4A" w:rsidRPr="008D25FA" w:rsidRDefault="009F5D4A" w:rsidP="009F5D4A">
      <w:pPr>
        <w:rPr>
          <w:u w:val="single"/>
        </w:rPr>
      </w:pPr>
      <w:r w:rsidRPr="008D25FA">
        <w:rPr>
          <w:u w:val="single"/>
        </w:rPr>
        <w:t xml:space="preserve">Regelgrundlag </w:t>
      </w:r>
    </w:p>
    <w:p w:rsidR="009F5D4A" w:rsidRPr="00F83959" w:rsidRDefault="009F5D4A" w:rsidP="009F5D4A">
      <w:pPr>
        <w:pStyle w:val="Listeafsnit"/>
        <w:numPr>
          <w:ilvl w:val="0"/>
          <w:numId w:val="18"/>
        </w:numPr>
        <w:tabs>
          <w:tab w:val="clear" w:pos="284"/>
        </w:tabs>
        <w:autoSpaceDE w:val="0"/>
        <w:autoSpaceDN w:val="0"/>
        <w:adjustRightInd w:val="0"/>
        <w:rPr>
          <w:bCs/>
          <w:sz w:val="22"/>
          <w:szCs w:val="22"/>
        </w:rPr>
      </w:pPr>
      <w:r w:rsidRPr="00F83959">
        <w:rPr>
          <w:bCs/>
          <w:sz w:val="22"/>
          <w:szCs w:val="22"/>
        </w:rPr>
        <w:t>Landstingslov nr. 27 af 30. oktober 1992 om regulering af arbejdskrafttilgangen i Grønland.</w:t>
      </w:r>
    </w:p>
    <w:p w:rsidR="009F5D4A" w:rsidRPr="00F83959" w:rsidRDefault="009F5D4A" w:rsidP="009F5D4A">
      <w:pPr>
        <w:pStyle w:val="Listeafsnit"/>
        <w:numPr>
          <w:ilvl w:val="0"/>
          <w:numId w:val="18"/>
        </w:numPr>
        <w:tabs>
          <w:tab w:val="clear" w:pos="284"/>
        </w:tabs>
        <w:autoSpaceDE w:val="0"/>
        <w:autoSpaceDN w:val="0"/>
        <w:adjustRightInd w:val="0"/>
        <w:rPr>
          <w:sz w:val="22"/>
          <w:szCs w:val="22"/>
        </w:rPr>
      </w:pPr>
      <w:r w:rsidRPr="00F83959">
        <w:rPr>
          <w:bCs/>
          <w:sz w:val="22"/>
          <w:szCs w:val="22"/>
        </w:rPr>
        <w:t>Hjemmestyrets bekendtgørelse nr. 24 af 26. august 1993 om regulering af arbejdskrafttilgangen i Grønland.</w:t>
      </w:r>
    </w:p>
    <w:p w:rsidR="009F5D4A" w:rsidRPr="00F83959" w:rsidRDefault="009F5D4A" w:rsidP="009F5D4A">
      <w:pPr>
        <w:pStyle w:val="Listeafsnit"/>
        <w:numPr>
          <w:ilvl w:val="0"/>
          <w:numId w:val="18"/>
        </w:numPr>
        <w:tabs>
          <w:tab w:val="clear" w:pos="284"/>
        </w:tabs>
        <w:autoSpaceDE w:val="0"/>
        <w:autoSpaceDN w:val="0"/>
        <w:adjustRightInd w:val="0"/>
        <w:rPr>
          <w:bCs/>
          <w:sz w:val="22"/>
          <w:szCs w:val="22"/>
        </w:rPr>
      </w:pPr>
      <w:proofErr w:type="spellStart"/>
      <w:r w:rsidRPr="00F83959">
        <w:rPr>
          <w:bCs/>
          <w:sz w:val="22"/>
          <w:szCs w:val="22"/>
        </w:rPr>
        <w:t>Inatsisartutlov</w:t>
      </w:r>
      <w:proofErr w:type="spellEnd"/>
      <w:r w:rsidRPr="00F83959">
        <w:rPr>
          <w:bCs/>
          <w:sz w:val="22"/>
          <w:szCs w:val="22"/>
        </w:rPr>
        <w:t xml:space="preserve"> nr. 27 af 9. december 2015 om ændring af landstingslov om regulering af arbejdskrafttilgangen i Grønland (Arbejdsgivers anvendelse af jobportalen).</w:t>
      </w:r>
    </w:p>
    <w:p w:rsidR="009F5D4A" w:rsidRPr="008D25FA" w:rsidRDefault="009F5D4A" w:rsidP="009F5D4A"/>
    <w:p w:rsidR="009F5D4A" w:rsidRPr="008D25FA" w:rsidRDefault="009F5D4A" w:rsidP="009F5D4A">
      <w:pPr>
        <w:rPr>
          <w:u w:val="single"/>
        </w:rPr>
      </w:pPr>
      <w:r w:rsidRPr="008D25FA">
        <w:rPr>
          <w:u w:val="single"/>
        </w:rPr>
        <w:t>Faktiske forhold</w:t>
      </w:r>
    </w:p>
    <w:p w:rsidR="009F5D4A" w:rsidRDefault="009F5D4A" w:rsidP="009F5D4A">
      <w:r>
        <w:t>Ansøgningen blev første gang fremlagt til udvalgets møde den 7. oktober 2019, men udvalget besluttede at sende sagen tilbage med ønske om at få klarlagt dokumentation af uddannelsesbaggrund for vedkommende slagter, som Hotel Maniitsoq ønsker at få ansat som kok.</w:t>
      </w:r>
    </w:p>
    <w:p w:rsidR="009F5D4A" w:rsidRDefault="009F5D4A" w:rsidP="009F5D4A"/>
    <w:p w:rsidR="009F5D4A" w:rsidRDefault="009F5D4A" w:rsidP="009F5D4A">
      <w:r>
        <w:t xml:space="preserve">I henhold til normal procedure blev ansøgningen efter modtagelsen på </w:t>
      </w:r>
      <w:proofErr w:type="spellStart"/>
      <w:r>
        <w:t>Majoriaq</w:t>
      </w:r>
      <w:proofErr w:type="spellEnd"/>
      <w:r>
        <w:t xml:space="preserve"> ophængt og fremsendt til samtlige arbejdsmarkedskontorer i alle kommuner. Samtidig blev ledighedsregistreret på arbejdsmarkedskontoret i Maniitsoq gennemgået, men der blev i ledighedsregistret ikke fundet ledige med de kvalifikationer, som svarede til kravene i ansøgningerne.</w:t>
      </w:r>
    </w:p>
    <w:p w:rsidR="009F5D4A" w:rsidRDefault="009F5D4A" w:rsidP="009F5D4A"/>
    <w:p w:rsidR="009F5D4A" w:rsidRDefault="009F5D4A" w:rsidP="009F5D4A">
      <w:r>
        <w:t>Der blev heller ikke modtaget ansøgninger og/eller henvisninger fra borgere eller fra andre kommuner til de øvrige stillinger.</w:t>
      </w:r>
    </w:p>
    <w:p w:rsidR="009F5D4A" w:rsidRDefault="009F5D4A" w:rsidP="009F5D4A"/>
    <w:p w:rsidR="009F5D4A" w:rsidRDefault="009F5D4A" w:rsidP="009F5D4A">
      <w:r>
        <w:t xml:space="preserve">Sagen blev efter udvalgets møde den 7. oktober 2019 sendt tilbage til </w:t>
      </w:r>
      <w:proofErr w:type="spellStart"/>
      <w:r>
        <w:t>Majoriaq</w:t>
      </w:r>
      <w:proofErr w:type="spellEnd"/>
      <w:r>
        <w:t>, som derefter har indhentet dokumentation af uddannelsesbevis for vedkommende slagter og fremlagt sagen på ny over for udvalgets forkvinde til beslutning på udvalgets vegne. Uddannelsesudvalgets forkvinde har behandlet og godkendt ansøgningen og foreligges her til udvalgets orientering.</w:t>
      </w:r>
    </w:p>
    <w:p w:rsidR="009F5D4A" w:rsidRDefault="009F5D4A" w:rsidP="009F5D4A"/>
    <w:p w:rsidR="009F5D4A" w:rsidRPr="008D25FA" w:rsidRDefault="009F5D4A" w:rsidP="009F5D4A">
      <w:pPr>
        <w:rPr>
          <w:u w:val="single"/>
        </w:rPr>
      </w:pPr>
      <w:r w:rsidRPr="008D25FA">
        <w:rPr>
          <w:u w:val="single"/>
        </w:rPr>
        <w:t>Bæredygtige konsekvenser</w:t>
      </w:r>
    </w:p>
    <w:p w:rsidR="009F5D4A" w:rsidRPr="004E4EED" w:rsidRDefault="009F5D4A" w:rsidP="009F5D4A">
      <w:r>
        <w:t>Det er ikke bæredygtigt, at et land må basere sig på tilkaldt arbejdskraft, med en række lande benytter tilkaldt arbejdskraft i servicebranchen. Der bør generelt fokuseres på at opnå bedre samarbejde om ansættelse af lokalt arbejdskraft i produktionsvirksomhederne i Qeqqata Kommunia.</w:t>
      </w:r>
    </w:p>
    <w:p w:rsidR="009F5D4A" w:rsidRPr="008D25FA" w:rsidRDefault="009F5D4A" w:rsidP="009F5D4A"/>
    <w:p w:rsidR="009F5D4A" w:rsidRPr="008D25FA" w:rsidRDefault="009F5D4A" w:rsidP="009F5D4A">
      <w:pPr>
        <w:rPr>
          <w:u w:val="single"/>
        </w:rPr>
      </w:pPr>
      <w:r w:rsidRPr="008D25FA">
        <w:rPr>
          <w:u w:val="single"/>
        </w:rPr>
        <w:t>Økonomiske og administrative konsekvenser</w:t>
      </w:r>
    </w:p>
    <w:p w:rsidR="009F5D4A" w:rsidRPr="008D25FA" w:rsidRDefault="009F5D4A" w:rsidP="009F5D4A">
      <w:r>
        <w:t>Der er ikke nogle væsentlige økonomiske og administrative konsekvenser for Kommunen at behandle ansøgninger og meddele beslutningen til ansøger.</w:t>
      </w:r>
    </w:p>
    <w:p w:rsidR="009F5D4A" w:rsidRPr="008D25FA" w:rsidRDefault="009F5D4A" w:rsidP="009F5D4A"/>
    <w:p w:rsidR="009F5D4A" w:rsidRPr="008D25FA" w:rsidRDefault="009F5D4A" w:rsidP="009F5D4A">
      <w:pPr>
        <w:rPr>
          <w:u w:val="single"/>
        </w:rPr>
      </w:pPr>
      <w:r w:rsidRPr="008D25FA">
        <w:rPr>
          <w:u w:val="single"/>
        </w:rPr>
        <w:t>Administrationens vurdering</w:t>
      </w:r>
    </w:p>
    <w:p w:rsidR="009F5D4A" w:rsidRDefault="009F5D4A" w:rsidP="009F5D4A">
      <w:r>
        <w:t>Administrationen foreligger ansøgningen fra Hotel Maniitsoq til udvalgets orientering med indstilling om, at tage Uddannelsesudvalgets forkvindes beslutning til efterretning.</w:t>
      </w:r>
    </w:p>
    <w:p w:rsidR="009F5D4A" w:rsidRDefault="009F5D4A" w:rsidP="009F5D4A"/>
    <w:p w:rsidR="009F5D4A" w:rsidRDefault="009F5D4A" w:rsidP="009F5D4A"/>
    <w:p w:rsidR="009F5D4A" w:rsidRDefault="009F5D4A" w:rsidP="009F5D4A"/>
    <w:p w:rsidR="009F5D4A" w:rsidRPr="008D25FA" w:rsidRDefault="009F5D4A" w:rsidP="009F5D4A">
      <w:pPr>
        <w:rPr>
          <w:b/>
        </w:rPr>
      </w:pPr>
      <w:r w:rsidRPr="008D25FA">
        <w:rPr>
          <w:b/>
        </w:rPr>
        <w:t>Indstilling</w:t>
      </w:r>
    </w:p>
    <w:p w:rsidR="009F5D4A" w:rsidRPr="008D25FA" w:rsidRDefault="009F5D4A" w:rsidP="009F5D4A">
      <w:r>
        <w:t>Det indstilles til Uddannelsesudvalget, at tage forkvindens beslutning vedr. ansøgning om ansættelse af udefrakommende arbejdskraft fra Hotel Maniitsoq til efterretning.</w:t>
      </w:r>
    </w:p>
    <w:p w:rsidR="009F5D4A" w:rsidRDefault="009F5D4A" w:rsidP="009F5D4A">
      <w:pPr>
        <w:rPr>
          <w:bCs/>
        </w:rPr>
      </w:pPr>
    </w:p>
    <w:p w:rsidR="009F5D4A" w:rsidRDefault="009F5D4A" w:rsidP="009F5D4A">
      <w:pPr>
        <w:rPr>
          <w:bCs/>
        </w:rPr>
      </w:pPr>
    </w:p>
    <w:p w:rsidR="009F5D4A" w:rsidRPr="00BB7CB9" w:rsidRDefault="009F5D4A" w:rsidP="009F5D4A">
      <w:pPr>
        <w:rPr>
          <w:b/>
          <w:szCs w:val="24"/>
        </w:rPr>
      </w:pPr>
      <w:r w:rsidRPr="00BB7CB9">
        <w:rPr>
          <w:b/>
          <w:szCs w:val="24"/>
        </w:rPr>
        <w:t>Afgørelse</w:t>
      </w:r>
    </w:p>
    <w:p w:rsidR="009F5D4A" w:rsidRDefault="009F5D4A" w:rsidP="009F5D4A">
      <w:pPr>
        <w:rPr>
          <w:bCs/>
        </w:rPr>
      </w:pPr>
    </w:p>
    <w:p w:rsidR="00AA07A2" w:rsidRPr="00AA07A2" w:rsidRDefault="00AA07A2" w:rsidP="00AA07A2">
      <w:r w:rsidRPr="00AA07A2">
        <w:rPr>
          <w:bCs/>
        </w:rPr>
        <w:t>Taget til efterretning.</w:t>
      </w:r>
    </w:p>
    <w:p w:rsidR="009F5D4A" w:rsidRDefault="009F5D4A" w:rsidP="009F5D4A">
      <w:pPr>
        <w:rPr>
          <w:bCs/>
        </w:rPr>
      </w:pPr>
    </w:p>
    <w:p w:rsidR="009F5D4A" w:rsidRPr="008D25FA" w:rsidRDefault="009F5D4A" w:rsidP="009F5D4A">
      <w:pPr>
        <w:rPr>
          <w:bCs/>
        </w:rPr>
      </w:pPr>
    </w:p>
    <w:p w:rsidR="009F5D4A" w:rsidRPr="008D25FA" w:rsidRDefault="009F5D4A" w:rsidP="009F5D4A">
      <w:pPr>
        <w:rPr>
          <w:b/>
        </w:rPr>
      </w:pPr>
      <w:r w:rsidRPr="008D25FA">
        <w:rPr>
          <w:b/>
        </w:rPr>
        <w:t>Bilag</w:t>
      </w:r>
    </w:p>
    <w:p w:rsidR="009F5D4A" w:rsidRPr="003B4C27" w:rsidRDefault="009F5D4A" w:rsidP="009F5D4A">
      <w:pPr>
        <w:numPr>
          <w:ilvl w:val="0"/>
          <w:numId w:val="2"/>
        </w:numPr>
        <w:tabs>
          <w:tab w:val="clear" w:pos="284"/>
        </w:tabs>
      </w:pPr>
      <w:r w:rsidRPr="003B4C27">
        <w:t>Sagsfremstilling til udvalgsformanden vedr. ansøgning om udefra kommende arbejdskraft fra Hotel Maniitsoq.</w:t>
      </w:r>
    </w:p>
    <w:p w:rsidR="00A07506" w:rsidRDefault="00A07506">
      <w:pPr>
        <w:tabs>
          <w:tab w:val="clear" w:pos="284"/>
        </w:tabs>
        <w:spacing w:after="160" w:line="259" w:lineRule="auto"/>
        <w:rPr>
          <w:rFonts w:eastAsia="MS Gothic"/>
          <w:b/>
          <w:szCs w:val="24"/>
          <w:lang w:eastAsia="ja-JP"/>
        </w:rPr>
      </w:pPr>
      <w:r>
        <w:rPr>
          <w:rFonts w:eastAsia="MS Gothic"/>
          <w:b/>
          <w:szCs w:val="24"/>
          <w:lang w:eastAsia="ja-JP"/>
        </w:rPr>
        <w:br w:type="page"/>
      </w:r>
    </w:p>
    <w:p w:rsidR="00B257E0" w:rsidRPr="000161CB" w:rsidRDefault="00750EE5" w:rsidP="00091F7B">
      <w:pPr>
        <w:tabs>
          <w:tab w:val="clear" w:pos="284"/>
        </w:tabs>
        <w:spacing w:after="160" w:line="259" w:lineRule="auto"/>
        <w:rPr>
          <w:rFonts w:eastAsia="MS Gothic"/>
          <w:b/>
          <w:szCs w:val="24"/>
          <w:lang w:eastAsia="ja-JP"/>
        </w:rPr>
      </w:pPr>
      <w:r w:rsidRPr="000161CB">
        <w:rPr>
          <w:rFonts w:eastAsia="MS Gothic"/>
          <w:b/>
          <w:szCs w:val="24"/>
          <w:lang w:eastAsia="ja-JP"/>
        </w:rPr>
        <w:lastRenderedPageBreak/>
        <w:t>Punkt.  1</w:t>
      </w:r>
      <w:r w:rsidR="009F5D4A">
        <w:rPr>
          <w:rFonts w:eastAsia="MS Gothic"/>
          <w:b/>
          <w:szCs w:val="24"/>
          <w:lang w:eastAsia="ja-JP"/>
        </w:rPr>
        <w:t>6</w:t>
      </w:r>
      <w:r w:rsidRPr="000161CB">
        <w:rPr>
          <w:rFonts w:eastAsia="MS Gothic"/>
          <w:b/>
          <w:szCs w:val="24"/>
          <w:lang w:eastAsia="ja-JP"/>
        </w:rPr>
        <w:t xml:space="preserve">     Evt.</w:t>
      </w:r>
    </w:p>
    <w:p w:rsidR="00AA07A2" w:rsidRPr="00AA07A2" w:rsidRDefault="00AA07A2" w:rsidP="00AA07A2">
      <w:pPr>
        <w:shd w:val="clear" w:color="auto" w:fill="FFFFFF"/>
        <w:tabs>
          <w:tab w:val="clear" w:pos="284"/>
        </w:tabs>
        <w:spacing w:after="150" w:line="240" w:lineRule="atLeast"/>
        <w:rPr>
          <w:rFonts w:ascii="Roboto" w:hAnsi="Roboto" w:cs="Arial"/>
          <w:szCs w:val="24"/>
          <w:lang w:val="kl-GL"/>
        </w:rPr>
      </w:pPr>
      <w:r w:rsidRPr="00AA07A2">
        <w:rPr>
          <w:rFonts w:ascii="Roboto" w:hAnsi="Roboto" w:cs="Arial"/>
          <w:szCs w:val="24"/>
          <w:lang w:val="kl-GL"/>
        </w:rPr>
        <w:t>Frederik Olsen: Forepurgte omkring ledigheden i Sisimiut der næsten er blevet fordobbelt.</w:t>
      </w:r>
    </w:p>
    <w:p w:rsidR="00AA07A2" w:rsidRPr="00AA07A2" w:rsidRDefault="00AA07A2" w:rsidP="00AA07A2">
      <w:pPr>
        <w:shd w:val="clear" w:color="auto" w:fill="FFFFFF"/>
        <w:tabs>
          <w:tab w:val="clear" w:pos="284"/>
        </w:tabs>
        <w:spacing w:after="150" w:line="240" w:lineRule="atLeast"/>
        <w:rPr>
          <w:rFonts w:ascii="Roboto" w:hAnsi="Roboto" w:cs="Arial"/>
          <w:szCs w:val="24"/>
        </w:rPr>
      </w:pPr>
      <w:r w:rsidRPr="00AA07A2">
        <w:rPr>
          <w:rFonts w:ascii="Roboto" w:hAnsi="Roboto" w:cs="Arial"/>
          <w:szCs w:val="24"/>
        </w:rPr>
        <w:t>Annga videresender svaret senere på dagen.</w:t>
      </w:r>
    </w:p>
    <w:p w:rsidR="00AA07A2" w:rsidRPr="00AA07A2" w:rsidRDefault="00AA07A2" w:rsidP="00AA07A2">
      <w:pPr>
        <w:shd w:val="clear" w:color="auto" w:fill="FFFFFF"/>
        <w:tabs>
          <w:tab w:val="clear" w:pos="284"/>
        </w:tabs>
        <w:spacing w:after="150" w:line="240" w:lineRule="atLeast"/>
        <w:rPr>
          <w:rFonts w:ascii="Roboto" w:hAnsi="Roboto" w:cs="Arial"/>
          <w:szCs w:val="24"/>
        </w:rPr>
      </w:pPr>
      <w:r w:rsidRPr="00AA07A2">
        <w:rPr>
          <w:rFonts w:ascii="Roboto" w:hAnsi="Roboto" w:cs="Arial"/>
          <w:szCs w:val="24"/>
        </w:rPr>
        <w:t xml:space="preserve">Ruth Heilmann: Sagen igangsættes når Bygherre rådgiverstillingen er besat. </w:t>
      </w:r>
    </w:p>
    <w:p w:rsidR="00AA07A2" w:rsidRPr="00AA07A2" w:rsidRDefault="00AA07A2" w:rsidP="00AA07A2">
      <w:pPr>
        <w:shd w:val="clear" w:color="auto" w:fill="FFFFFF"/>
        <w:tabs>
          <w:tab w:val="clear" w:pos="284"/>
        </w:tabs>
        <w:spacing w:after="150" w:line="240" w:lineRule="atLeast"/>
        <w:rPr>
          <w:rFonts w:ascii="Roboto" w:hAnsi="Roboto" w:cs="Arial"/>
          <w:szCs w:val="24"/>
        </w:rPr>
      </w:pPr>
      <w:r w:rsidRPr="00AA07A2">
        <w:rPr>
          <w:rFonts w:ascii="Roboto" w:hAnsi="Roboto" w:cs="Arial"/>
          <w:szCs w:val="24"/>
        </w:rPr>
        <w:t xml:space="preserve">Sofie Dorthe R. Olsen: Hvad er status på sagen omkring elever fra bygder og lokale der starter i </w:t>
      </w:r>
      <w:proofErr w:type="spellStart"/>
      <w:r w:rsidRPr="00AA07A2">
        <w:rPr>
          <w:rFonts w:ascii="Roboto" w:hAnsi="Roboto" w:cs="Arial"/>
          <w:szCs w:val="24"/>
        </w:rPr>
        <w:t>Majoriaq</w:t>
      </w:r>
      <w:proofErr w:type="spellEnd"/>
      <w:r w:rsidRPr="00AA07A2">
        <w:rPr>
          <w:rFonts w:ascii="Roboto" w:hAnsi="Roboto" w:cs="Arial"/>
          <w:szCs w:val="24"/>
        </w:rPr>
        <w:t xml:space="preserve"> og vedrørende muligheder for at kunne tildeles kollegie til elever under 18 år.</w:t>
      </w:r>
    </w:p>
    <w:p w:rsidR="00AA07A2" w:rsidRPr="00AA07A2" w:rsidRDefault="00AA07A2" w:rsidP="00AA07A2">
      <w:pPr>
        <w:shd w:val="clear" w:color="auto" w:fill="FFFFFF"/>
        <w:tabs>
          <w:tab w:val="clear" w:pos="284"/>
        </w:tabs>
        <w:spacing w:after="150" w:line="240" w:lineRule="atLeast"/>
        <w:rPr>
          <w:rFonts w:ascii="Roboto" w:hAnsi="Roboto" w:cs="Arial"/>
          <w:sz w:val="18"/>
          <w:szCs w:val="18"/>
        </w:rPr>
      </w:pPr>
      <w:r w:rsidRPr="00AA07A2">
        <w:rPr>
          <w:rFonts w:ascii="Roboto" w:hAnsi="Roboto" w:cs="Arial"/>
          <w:szCs w:val="24"/>
        </w:rPr>
        <w:t xml:space="preserve">Svaret </w:t>
      </w:r>
      <w:proofErr w:type="spellStart"/>
      <w:r w:rsidRPr="00AA07A2">
        <w:rPr>
          <w:rFonts w:ascii="Roboto" w:hAnsi="Roboto" w:cs="Arial"/>
          <w:szCs w:val="24"/>
        </w:rPr>
        <w:t>vidersendes</w:t>
      </w:r>
      <w:proofErr w:type="spellEnd"/>
      <w:r w:rsidRPr="00AA07A2">
        <w:rPr>
          <w:rFonts w:ascii="Roboto" w:hAnsi="Roboto" w:cs="Arial"/>
          <w:szCs w:val="24"/>
        </w:rPr>
        <w:t xml:space="preserve"> senere på dagen.</w:t>
      </w:r>
    </w:p>
    <w:p w:rsidR="00750EE5" w:rsidRPr="00AA07A2" w:rsidRDefault="00750EE5" w:rsidP="00091F7B">
      <w:pPr>
        <w:tabs>
          <w:tab w:val="clear" w:pos="284"/>
        </w:tabs>
        <w:spacing w:after="160" w:line="259" w:lineRule="auto"/>
        <w:rPr>
          <w:rFonts w:eastAsia="MS Gothic"/>
          <w:szCs w:val="24"/>
          <w:lang w:eastAsia="ja-JP"/>
        </w:rPr>
      </w:pPr>
    </w:p>
    <w:p w:rsidR="00750EE5" w:rsidRPr="000161CB" w:rsidRDefault="00750EE5" w:rsidP="00091F7B">
      <w:pPr>
        <w:tabs>
          <w:tab w:val="clear" w:pos="284"/>
        </w:tabs>
        <w:spacing w:after="160" w:line="259" w:lineRule="auto"/>
        <w:rPr>
          <w:rFonts w:eastAsia="MS Gothic"/>
          <w:szCs w:val="24"/>
          <w:lang w:eastAsia="ja-JP"/>
        </w:rPr>
      </w:pPr>
    </w:p>
    <w:p w:rsidR="00750EE5" w:rsidRPr="000161CB" w:rsidRDefault="00750EE5" w:rsidP="00091F7B">
      <w:pPr>
        <w:tabs>
          <w:tab w:val="clear" w:pos="284"/>
        </w:tabs>
        <w:spacing w:after="160" w:line="259" w:lineRule="auto"/>
        <w:rPr>
          <w:b/>
        </w:rPr>
      </w:pPr>
    </w:p>
    <w:p w:rsidR="009E0D79" w:rsidRPr="000161CB" w:rsidRDefault="00090E6D" w:rsidP="00091F7B">
      <w:pPr>
        <w:tabs>
          <w:tab w:val="clear" w:pos="284"/>
        </w:tabs>
        <w:spacing w:after="160" w:line="259" w:lineRule="auto"/>
        <w:rPr>
          <w:rFonts w:eastAsia="MS Gothic"/>
          <w:b/>
          <w:szCs w:val="24"/>
          <w:lang w:eastAsia="ja-JP"/>
        </w:rPr>
      </w:pPr>
      <w:r>
        <w:rPr>
          <w:b/>
        </w:rPr>
        <w:t>Mødet slutter kl.:</w:t>
      </w:r>
      <w:r w:rsidR="00AA07A2">
        <w:rPr>
          <w:b/>
        </w:rPr>
        <w:t xml:space="preserve"> 10:23</w:t>
      </w:r>
    </w:p>
    <w:sectPr w:rsidR="009E0D79" w:rsidRPr="000161CB">
      <w:headerReference w:type="default" r:id="rId28"/>
      <w:footerReference w:type="default" r:id="rId2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BEE" w:rsidRDefault="004D3BEE" w:rsidP="008600F1">
      <w:r>
        <w:separator/>
      </w:r>
    </w:p>
  </w:endnote>
  <w:endnote w:type="continuationSeparator" w:id="0">
    <w:p w:rsidR="004D3BEE" w:rsidRDefault="004D3BEE" w:rsidP="0086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729947"/>
      <w:docPartObj>
        <w:docPartGallery w:val="Page Numbers (Bottom of Page)"/>
        <w:docPartUnique/>
      </w:docPartObj>
    </w:sdtPr>
    <w:sdtEndPr/>
    <w:sdtContent>
      <w:p w:rsidR="004D3BEE" w:rsidRDefault="004D3BEE">
        <w:pPr>
          <w:pStyle w:val="Sidefod"/>
          <w:jc w:val="right"/>
        </w:pPr>
        <w:r>
          <w:fldChar w:fldCharType="begin"/>
        </w:r>
        <w:r>
          <w:instrText>PAGE   \* MERGEFORMAT</w:instrText>
        </w:r>
        <w:r>
          <w:fldChar w:fldCharType="separate"/>
        </w:r>
        <w:r w:rsidR="00AA07A2">
          <w:rPr>
            <w:noProof/>
          </w:rPr>
          <w:t>4</w:t>
        </w:r>
        <w:r>
          <w:fldChar w:fldCharType="end"/>
        </w:r>
      </w:p>
    </w:sdtContent>
  </w:sdt>
  <w:p w:rsidR="004D3BEE" w:rsidRDefault="004D3BE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BEE" w:rsidRDefault="004D3BEE" w:rsidP="008600F1">
      <w:r>
        <w:separator/>
      </w:r>
    </w:p>
  </w:footnote>
  <w:footnote w:type="continuationSeparator" w:id="0">
    <w:p w:rsidR="004D3BEE" w:rsidRDefault="004D3BEE" w:rsidP="0086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EE" w:rsidRPr="008600F1" w:rsidRDefault="00C132F2" w:rsidP="008600F1">
    <w:pPr>
      <w:pBdr>
        <w:top w:val="single" w:sz="6" w:space="5" w:color="auto"/>
        <w:left w:val="single" w:sz="6" w:space="5" w:color="auto"/>
        <w:bottom w:val="single" w:sz="6" w:space="5" w:color="auto"/>
        <w:right w:val="single" w:sz="6" w:space="5" w:color="auto"/>
      </w:pBdr>
      <w:shd w:val="pct5" w:color="auto" w:fill="auto"/>
      <w:tabs>
        <w:tab w:val="center" w:pos="4819"/>
        <w:tab w:val="right" w:pos="9638"/>
      </w:tabs>
      <w:jc w:val="both"/>
    </w:pPr>
    <w:r>
      <w:rPr>
        <w:b/>
        <w:i/>
      </w:rPr>
      <w:t xml:space="preserve">Referat </w:t>
    </w:r>
    <w:r w:rsidR="004D3BEE">
      <w:rPr>
        <w:b/>
        <w:i/>
      </w:rPr>
      <w:t>Udvalg for Uddannelse ordinære møde 09/2019, den 04. November 2019</w:t>
    </w:r>
  </w:p>
  <w:p w:rsidR="004D3BEE" w:rsidRDefault="004D3BEE" w:rsidP="008600F1">
    <w:pPr>
      <w:pStyle w:val="Sidehoved"/>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D7260E4"/>
    <w:lvl w:ilvl="0">
      <w:start w:val="1"/>
      <w:numFmt w:val="decimal"/>
      <w:pStyle w:val="Opstilling-talellerbogst"/>
      <w:lvlText w:val="%1."/>
      <w:lvlJc w:val="left"/>
      <w:pPr>
        <w:tabs>
          <w:tab w:val="num" w:pos="207"/>
        </w:tabs>
        <w:ind w:left="207" w:hanging="207"/>
      </w:pPr>
      <w:rPr>
        <w:rFonts w:ascii="Times New Roman" w:hAnsi="Times New Roman" w:hint="default"/>
        <w:b w:val="0"/>
        <w:i w:val="0"/>
        <w:sz w:val="24"/>
        <w:szCs w:val="24"/>
      </w:rPr>
    </w:lvl>
  </w:abstractNum>
  <w:abstractNum w:abstractNumId="1" w15:restartNumberingAfterBreak="0">
    <w:nsid w:val="005F7364"/>
    <w:multiLevelType w:val="multilevel"/>
    <w:tmpl w:val="39F83FD0"/>
    <w:styleLink w:val="Opstilling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 w15:restartNumberingAfterBreak="0">
    <w:nsid w:val="01C17A00"/>
    <w:multiLevelType w:val="hybridMultilevel"/>
    <w:tmpl w:val="D2106C26"/>
    <w:lvl w:ilvl="0" w:tplc="1908C38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C930EF3"/>
    <w:multiLevelType w:val="multilevel"/>
    <w:tmpl w:val="869A5CA2"/>
    <w:styleLink w:val="List0"/>
    <w:lvl w:ilvl="0">
      <w:numFmt w:val="bullet"/>
      <w:lvlText w:val="-"/>
      <w:lvlJc w:val="left"/>
      <w:rPr>
        <w:i/>
        <w:iCs/>
        <w:position w:val="0"/>
        <w:shd w:val="clear" w:color="auto" w:fill="FFFF00"/>
      </w:rPr>
    </w:lvl>
    <w:lvl w:ilvl="1">
      <w:start w:val="1"/>
      <w:numFmt w:val="bullet"/>
      <w:lvlText w:val="o"/>
      <w:lvlJc w:val="left"/>
      <w:rPr>
        <w:i/>
        <w:iCs/>
        <w:position w:val="0"/>
        <w:shd w:val="clear" w:color="auto" w:fill="FFFF00"/>
      </w:rPr>
    </w:lvl>
    <w:lvl w:ilvl="2">
      <w:start w:val="1"/>
      <w:numFmt w:val="bullet"/>
      <w:lvlText w:val="▪"/>
      <w:lvlJc w:val="left"/>
      <w:rPr>
        <w:i/>
        <w:iCs/>
        <w:position w:val="0"/>
        <w:shd w:val="clear" w:color="auto" w:fill="FFFF00"/>
      </w:rPr>
    </w:lvl>
    <w:lvl w:ilvl="3">
      <w:start w:val="1"/>
      <w:numFmt w:val="bullet"/>
      <w:lvlText w:val="•"/>
      <w:lvlJc w:val="left"/>
      <w:rPr>
        <w:i/>
        <w:iCs/>
        <w:position w:val="0"/>
        <w:shd w:val="clear" w:color="auto" w:fill="FFFF00"/>
      </w:rPr>
    </w:lvl>
    <w:lvl w:ilvl="4">
      <w:start w:val="1"/>
      <w:numFmt w:val="bullet"/>
      <w:lvlText w:val="o"/>
      <w:lvlJc w:val="left"/>
      <w:rPr>
        <w:i/>
        <w:iCs/>
        <w:position w:val="0"/>
        <w:shd w:val="clear" w:color="auto" w:fill="FFFF00"/>
      </w:rPr>
    </w:lvl>
    <w:lvl w:ilvl="5">
      <w:start w:val="1"/>
      <w:numFmt w:val="bullet"/>
      <w:lvlText w:val="▪"/>
      <w:lvlJc w:val="left"/>
      <w:rPr>
        <w:i/>
        <w:iCs/>
        <w:position w:val="0"/>
        <w:shd w:val="clear" w:color="auto" w:fill="FFFF00"/>
      </w:rPr>
    </w:lvl>
    <w:lvl w:ilvl="6">
      <w:start w:val="1"/>
      <w:numFmt w:val="bullet"/>
      <w:lvlText w:val="•"/>
      <w:lvlJc w:val="left"/>
      <w:rPr>
        <w:i/>
        <w:iCs/>
        <w:position w:val="0"/>
        <w:shd w:val="clear" w:color="auto" w:fill="FFFF00"/>
      </w:rPr>
    </w:lvl>
    <w:lvl w:ilvl="7">
      <w:start w:val="1"/>
      <w:numFmt w:val="bullet"/>
      <w:lvlText w:val="o"/>
      <w:lvlJc w:val="left"/>
      <w:rPr>
        <w:i/>
        <w:iCs/>
        <w:position w:val="0"/>
        <w:shd w:val="clear" w:color="auto" w:fill="FFFF00"/>
      </w:rPr>
    </w:lvl>
    <w:lvl w:ilvl="8">
      <w:start w:val="1"/>
      <w:numFmt w:val="bullet"/>
      <w:lvlText w:val="▪"/>
      <w:lvlJc w:val="left"/>
      <w:rPr>
        <w:i/>
        <w:iCs/>
        <w:position w:val="0"/>
        <w:shd w:val="clear" w:color="auto" w:fill="FFFF00"/>
      </w:rPr>
    </w:lvl>
  </w:abstractNum>
  <w:abstractNum w:abstractNumId="4" w15:restartNumberingAfterBreak="0">
    <w:nsid w:val="0E1E45A9"/>
    <w:multiLevelType w:val="multilevel"/>
    <w:tmpl w:val="4880A95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10E313F9"/>
    <w:multiLevelType w:val="singleLevel"/>
    <w:tmpl w:val="99CA52EE"/>
    <w:lvl w:ilvl="0">
      <w:start w:val="1"/>
      <w:numFmt w:val="decimal"/>
      <w:pStyle w:val="Indhold-punkter"/>
      <w:lvlText w:val="%1."/>
      <w:lvlJc w:val="left"/>
      <w:pPr>
        <w:tabs>
          <w:tab w:val="num" w:pos="360"/>
        </w:tabs>
        <w:ind w:left="360" w:hanging="360"/>
      </w:pPr>
    </w:lvl>
  </w:abstractNum>
  <w:abstractNum w:abstractNumId="6" w15:restartNumberingAfterBreak="0">
    <w:nsid w:val="15EB0B05"/>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7746397"/>
    <w:multiLevelType w:val="hybridMultilevel"/>
    <w:tmpl w:val="D8F0F7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9D53C99"/>
    <w:multiLevelType w:val="hybridMultilevel"/>
    <w:tmpl w:val="0848FF34"/>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B6E0A87"/>
    <w:multiLevelType w:val="hybridMultilevel"/>
    <w:tmpl w:val="208041BA"/>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22B52A23"/>
    <w:multiLevelType w:val="hybridMultilevel"/>
    <w:tmpl w:val="C4E61EEE"/>
    <w:lvl w:ilvl="0" w:tplc="25AE022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6E31133"/>
    <w:multiLevelType w:val="hybridMultilevel"/>
    <w:tmpl w:val="6606503C"/>
    <w:lvl w:ilvl="0" w:tplc="8FB23D1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8114117"/>
    <w:multiLevelType w:val="hybridMultilevel"/>
    <w:tmpl w:val="905229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736923"/>
    <w:multiLevelType w:val="hybridMultilevel"/>
    <w:tmpl w:val="0A78F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8C5A38"/>
    <w:multiLevelType w:val="hybridMultilevel"/>
    <w:tmpl w:val="9BD481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4FF6AB3"/>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99836B9"/>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AF63895"/>
    <w:multiLevelType w:val="hybridMultilevel"/>
    <w:tmpl w:val="15468EEC"/>
    <w:lvl w:ilvl="0" w:tplc="C692452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43BD6914"/>
    <w:multiLevelType w:val="hybridMultilevel"/>
    <w:tmpl w:val="BF6E5212"/>
    <w:lvl w:ilvl="0" w:tplc="26AACED0">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5312223"/>
    <w:multiLevelType w:val="hybridMultilevel"/>
    <w:tmpl w:val="C30ADC5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56A235C"/>
    <w:multiLevelType w:val="hybridMultilevel"/>
    <w:tmpl w:val="EC9E19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76367BE"/>
    <w:multiLevelType w:val="hybridMultilevel"/>
    <w:tmpl w:val="5FEEA482"/>
    <w:lvl w:ilvl="0" w:tplc="04060011">
      <w:start w:val="3"/>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15:restartNumberingAfterBreak="0">
    <w:nsid w:val="48413030"/>
    <w:multiLevelType w:val="multilevel"/>
    <w:tmpl w:val="B316C072"/>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4967365F"/>
    <w:multiLevelType w:val="hybridMultilevel"/>
    <w:tmpl w:val="4F90C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DF007A"/>
    <w:multiLevelType w:val="hybridMultilevel"/>
    <w:tmpl w:val="3288D1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0E65FD6"/>
    <w:multiLevelType w:val="hybridMultilevel"/>
    <w:tmpl w:val="43F68E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1074BE8"/>
    <w:multiLevelType w:val="hybridMultilevel"/>
    <w:tmpl w:val="039CF9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27D5363"/>
    <w:multiLevelType w:val="hybridMultilevel"/>
    <w:tmpl w:val="382AF9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3B33B05"/>
    <w:multiLevelType w:val="hybridMultilevel"/>
    <w:tmpl w:val="D8B4F1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9CE7713"/>
    <w:multiLevelType w:val="hybridMultilevel"/>
    <w:tmpl w:val="CFA0C4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AD03855"/>
    <w:multiLevelType w:val="hybridMultilevel"/>
    <w:tmpl w:val="0172B7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F0D2E7F"/>
    <w:multiLevelType w:val="hybridMultilevel"/>
    <w:tmpl w:val="BF6E5212"/>
    <w:lvl w:ilvl="0" w:tplc="26AACED0">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F9816EB"/>
    <w:multiLevelType w:val="hybridMultilevel"/>
    <w:tmpl w:val="EF1477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6F22B24"/>
    <w:multiLevelType w:val="hybridMultilevel"/>
    <w:tmpl w:val="A238C070"/>
    <w:lvl w:ilvl="0" w:tplc="80AA92A0">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4" w15:restartNumberingAfterBreak="0">
    <w:nsid w:val="6B130B27"/>
    <w:multiLevelType w:val="hybridMultilevel"/>
    <w:tmpl w:val="2230EB10"/>
    <w:lvl w:ilvl="0" w:tplc="806083E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CE26071"/>
    <w:multiLevelType w:val="hybridMultilevel"/>
    <w:tmpl w:val="20BE9EA4"/>
    <w:lvl w:ilvl="0" w:tplc="695AFC2C">
      <w:start w:val="1"/>
      <w:numFmt w:val="bullet"/>
      <w:lvlText w:val="-"/>
      <w:lvlJc w:val="left"/>
      <w:pPr>
        <w:ind w:left="720" w:hanging="360"/>
      </w:pPr>
      <w:rPr>
        <w:rFonts w:ascii="Century Gothic" w:eastAsia="Times New Roman" w:hAnsi="Century Gothic"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2A316F8"/>
    <w:multiLevelType w:val="hybridMultilevel"/>
    <w:tmpl w:val="C89CBE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E23111"/>
    <w:multiLevelType w:val="multilevel"/>
    <w:tmpl w:val="4D20123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77BA681C"/>
    <w:multiLevelType w:val="hybridMultilevel"/>
    <w:tmpl w:val="C58AB57E"/>
    <w:lvl w:ilvl="0" w:tplc="75A6C980">
      <w:start w:val="50"/>
      <w:numFmt w:val="bullet"/>
      <w:lvlText w:val=""/>
      <w:lvlJc w:val="left"/>
      <w:pPr>
        <w:ind w:left="720" w:hanging="360"/>
      </w:pPr>
      <w:rPr>
        <w:rFonts w:ascii="Symbol" w:eastAsiaTheme="minorHAnsi" w:hAnsi="Symbol" w:cs="ArialNarrow"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7D86238"/>
    <w:multiLevelType w:val="multilevel"/>
    <w:tmpl w:val="8B721C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7B775965"/>
    <w:multiLevelType w:val="hybridMultilevel"/>
    <w:tmpl w:val="A5124D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B9F44AF"/>
    <w:multiLevelType w:val="multilevel"/>
    <w:tmpl w:val="5FBE85FE"/>
    <w:lvl w:ilvl="0">
      <w:start w:val="1"/>
      <w:numFmt w:val="bullet"/>
      <w:lvlText w:val="-"/>
      <w:lvlJc w:val="left"/>
      <w:rPr>
        <w:i/>
        <w:iCs/>
        <w:position w:val="0"/>
        <w:shd w:val="clear" w:color="auto" w:fill="FFFF00"/>
      </w:rPr>
    </w:lvl>
    <w:lvl w:ilvl="1">
      <w:start w:val="1"/>
      <w:numFmt w:val="bullet"/>
      <w:lvlText w:val="o"/>
      <w:lvlJc w:val="left"/>
      <w:rPr>
        <w:i/>
        <w:iCs/>
        <w:position w:val="0"/>
        <w:shd w:val="clear" w:color="auto" w:fill="FFFF00"/>
      </w:rPr>
    </w:lvl>
    <w:lvl w:ilvl="2">
      <w:start w:val="1"/>
      <w:numFmt w:val="bullet"/>
      <w:lvlText w:val="▪"/>
      <w:lvlJc w:val="left"/>
      <w:rPr>
        <w:i/>
        <w:iCs/>
        <w:position w:val="0"/>
        <w:shd w:val="clear" w:color="auto" w:fill="FFFF00"/>
      </w:rPr>
    </w:lvl>
    <w:lvl w:ilvl="3">
      <w:start w:val="1"/>
      <w:numFmt w:val="bullet"/>
      <w:lvlText w:val="•"/>
      <w:lvlJc w:val="left"/>
      <w:rPr>
        <w:i/>
        <w:iCs/>
        <w:position w:val="0"/>
        <w:shd w:val="clear" w:color="auto" w:fill="FFFF00"/>
      </w:rPr>
    </w:lvl>
    <w:lvl w:ilvl="4">
      <w:start w:val="1"/>
      <w:numFmt w:val="bullet"/>
      <w:lvlText w:val="o"/>
      <w:lvlJc w:val="left"/>
      <w:rPr>
        <w:i/>
        <w:iCs/>
        <w:position w:val="0"/>
        <w:shd w:val="clear" w:color="auto" w:fill="FFFF00"/>
      </w:rPr>
    </w:lvl>
    <w:lvl w:ilvl="5">
      <w:start w:val="1"/>
      <w:numFmt w:val="bullet"/>
      <w:lvlText w:val="▪"/>
      <w:lvlJc w:val="left"/>
      <w:rPr>
        <w:i/>
        <w:iCs/>
        <w:position w:val="0"/>
        <w:shd w:val="clear" w:color="auto" w:fill="FFFF00"/>
      </w:rPr>
    </w:lvl>
    <w:lvl w:ilvl="6">
      <w:start w:val="1"/>
      <w:numFmt w:val="bullet"/>
      <w:lvlText w:val="•"/>
      <w:lvlJc w:val="left"/>
      <w:rPr>
        <w:i/>
        <w:iCs/>
        <w:position w:val="0"/>
        <w:shd w:val="clear" w:color="auto" w:fill="FFFF00"/>
      </w:rPr>
    </w:lvl>
    <w:lvl w:ilvl="7">
      <w:start w:val="1"/>
      <w:numFmt w:val="bullet"/>
      <w:lvlText w:val="o"/>
      <w:lvlJc w:val="left"/>
      <w:rPr>
        <w:i/>
        <w:iCs/>
        <w:position w:val="0"/>
        <w:shd w:val="clear" w:color="auto" w:fill="FFFF00"/>
      </w:rPr>
    </w:lvl>
    <w:lvl w:ilvl="8">
      <w:start w:val="1"/>
      <w:numFmt w:val="bullet"/>
      <w:lvlText w:val="▪"/>
      <w:lvlJc w:val="left"/>
      <w:rPr>
        <w:i/>
        <w:iCs/>
        <w:position w:val="0"/>
        <w:shd w:val="clear" w:color="auto" w:fill="FFFF00"/>
      </w:rPr>
    </w:lvl>
  </w:abstractNum>
  <w:abstractNum w:abstractNumId="42" w15:restartNumberingAfterBreak="0">
    <w:nsid w:val="7E1D6528"/>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6"/>
  </w:num>
  <w:num w:numId="3">
    <w:abstractNumId w:val="0"/>
    <w:lvlOverride w:ilvl="0">
      <w:startOverride w:val="1"/>
    </w:lvlOverride>
  </w:num>
  <w:num w:numId="4">
    <w:abstractNumId w:val="17"/>
  </w:num>
  <w:num w:numId="5">
    <w:abstractNumId w:val="5"/>
  </w:num>
  <w:num w:numId="6">
    <w:abstractNumId w:val="3"/>
  </w:num>
  <w:num w:numId="7">
    <w:abstractNumId w:val="22"/>
  </w:num>
  <w:num w:numId="8">
    <w:abstractNumId w:val="1"/>
  </w:num>
  <w:num w:numId="9">
    <w:abstractNumId w:val="2"/>
  </w:num>
  <w:num w:numId="10">
    <w:abstractNumId w:val="31"/>
  </w:num>
  <w:num w:numId="11">
    <w:abstractNumId w:val="25"/>
  </w:num>
  <w:num w:numId="12">
    <w:abstractNumId w:val="33"/>
  </w:num>
  <w:num w:numId="1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0"/>
  </w:num>
  <w:num w:numId="16">
    <w:abstractNumId w:val="35"/>
  </w:num>
  <w:num w:numId="17">
    <w:abstractNumId w:val="8"/>
  </w:num>
  <w:num w:numId="18">
    <w:abstractNumId w:val="13"/>
  </w:num>
  <w:num w:numId="19">
    <w:abstractNumId w:val="42"/>
  </w:num>
  <w:num w:numId="20">
    <w:abstractNumId w:val="28"/>
  </w:num>
  <w:num w:numId="21">
    <w:abstractNumId w:val="30"/>
  </w:num>
  <w:num w:numId="22">
    <w:abstractNumId w:val="27"/>
  </w:num>
  <w:num w:numId="23">
    <w:abstractNumId w:val="10"/>
  </w:num>
  <w:num w:numId="24">
    <w:abstractNumId w:val="11"/>
  </w:num>
  <w:num w:numId="25">
    <w:abstractNumId w:val="34"/>
  </w:num>
  <w:num w:numId="26">
    <w:abstractNumId w:val="26"/>
  </w:num>
  <w:num w:numId="27">
    <w:abstractNumId w:val="32"/>
  </w:num>
  <w:num w:numId="28">
    <w:abstractNumId w:val="7"/>
  </w:num>
  <w:num w:numId="29">
    <w:abstractNumId w:val="21"/>
  </w:num>
  <w:num w:numId="30">
    <w:abstractNumId w:val="16"/>
  </w:num>
  <w:num w:numId="31">
    <w:abstractNumId w:val="19"/>
  </w:num>
  <w:num w:numId="32">
    <w:abstractNumId w:val="12"/>
  </w:num>
  <w:num w:numId="33">
    <w:abstractNumId w:val="29"/>
  </w:num>
  <w:num w:numId="34">
    <w:abstractNumId w:val="0"/>
  </w:num>
  <w:num w:numId="35">
    <w:abstractNumId w:val="24"/>
  </w:num>
  <w:num w:numId="36">
    <w:abstractNumId w:val="15"/>
  </w:num>
  <w:num w:numId="37">
    <w:abstractNumId w:val="40"/>
  </w:num>
  <w:num w:numId="38">
    <w:abstractNumId w:val="36"/>
  </w:num>
  <w:num w:numId="39">
    <w:abstractNumId w:val="23"/>
  </w:num>
  <w:num w:numId="40">
    <w:abstractNumId w:val="41"/>
  </w:num>
  <w:num w:numId="41">
    <w:abstractNumId w:val="39"/>
  </w:num>
  <w:num w:numId="42">
    <w:abstractNumId w:val="4"/>
  </w:num>
  <w:num w:numId="43">
    <w:abstractNumId w:val="37"/>
  </w:num>
  <w:num w:numId="44">
    <w:abstractNumId w:val="38"/>
  </w:num>
  <w:num w:numId="45">
    <w:abstractNumId w:val="9"/>
    <w:lvlOverride w:ilvl="0">
      <w:startOverride w:val="1"/>
    </w:lvlOverride>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F1"/>
    <w:rsid w:val="00006B8A"/>
    <w:rsid w:val="00012228"/>
    <w:rsid w:val="00013040"/>
    <w:rsid w:val="000161CB"/>
    <w:rsid w:val="00016A4D"/>
    <w:rsid w:val="00020444"/>
    <w:rsid w:val="00026AED"/>
    <w:rsid w:val="000858A2"/>
    <w:rsid w:val="00085BFA"/>
    <w:rsid w:val="00086745"/>
    <w:rsid w:val="00090E6D"/>
    <w:rsid w:val="00091F7B"/>
    <w:rsid w:val="000B43A3"/>
    <w:rsid w:val="000D2BA3"/>
    <w:rsid w:val="000E057F"/>
    <w:rsid w:val="001026EC"/>
    <w:rsid w:val="00121C91"/>
    <w:rsid w:val="00126DB2"/>
    <w:rsid w:val="00132C63"/>
    <w:rsid w:val="001542F0"/>
    <w:rsid w:val="001657CF"/>
    <w:rsid w:val="00167A20"/>
    <w:rsid w:val="001A1D86"/>
    <w:rsid w:val="001D7213"/>
    <w:rsid w:val="002134A2"/>
    <w:rsid w:val="002255CF"/>
    <w:rsid w:val="00231F37"/>
    <w:rsid w:val="00246C9F"/>
    <w:rsid w:val="00257D65"/>
    <w:rsid w:val="00266B72"/>
    <w:rsid w:val="00267FDB"/>
    <w:rsid w:val="00283E68"/>
    <w:rsid w:val="002B283A"/>
    <w:rsid w:val="002D65C4"/>
    <w:rsid w:val="002E0B80"/>
    <w:rsid w:val="002E3363"/>
    <w:rsid w:val="002E4A85"/>
    <w:rsid w:val="002F409F"/>
    <w:rsid w:val="00300C37"/>
    <w:rsid w:val="00322E82"/>
    <w:rsid w:val="00353FA3"/>
    <w:rsid w:val="0036256F"/>
    <w:rsid w:val="00392172"/>
    <w:rsid w:val="0039469B"/>
    <w:rsid w:val="003A34E1"/>
    <w:rsid w:val="003B4FFC"/>
    <w:rsid w:val="003B518A"/>
    <w:rsid w:val="00402270"/>
    <w:rsid w:val="00404585"/>
    <w:rsid w:val="00426FD0"/>
    <w:rsid w:val="0043743B"/>
    <w:rsid w:val="00445DFA"/>
    <w:rsid w:val="00453EFC"/>
    <w:rsid w:val="00463981"/>
    <w:rsid w:val="00475DC8"/>
    <w:rsid w:val="00486853"/>
    <w:rsid w:val="004A1FE1"/>
    <w:rsid w:val="004D3BEE"/>
    <w:rsid w:val="004D7479"/>
    <w:rsid w:val="004E5FB7"/>
    <w:rsid w:val="00534EEE"/>
    <w:rsid w:val="0055765F"/>
    <w:rsid w:val="00564D0E"/>
    <w:rsid w:val="005665E4"/>
    <w:rsid w:val="00566E67"/>
    <w:rsid w:val="00576212"/>
    <w:rsid w:val="005A2DF0"/>
    <w:rsid w:val="005E16DD"/>
    <w:rsid w:val="005F5B92"/>
    <w:rsid w:val="00614DAF"/>
    <w:rsid w:val="00660A02"/>
    <w:rsid w:val="00662C80"/>
    <w:rsid w:val="00667852"/>
    <w:rsid w:val="0067124F"/>
    <w:rsid w:val="00672186"/>
    <w:rsid w:val="00681BD7"/>
    <w:rsid w:val="00681D7F"/>
    <w:rsid w:val="006C1C54"/>
    <w:rsid w:val="006C3E0A"/>
    <w:rsid w:val="006D3D30"/>
    <w:rsid w:val="006E60C4"/>
    <w:rsid w:val="00716E54"/>
    <w:rsid w:val="00724AB0"/>
    <w:rsid w:val="00730E92"/>
    <w:rsid w:val="00740E55"/>
    <w:rsid w:val="00742BB5"/>
    <w:rsid w:val="007437B1"/>
    <w:rsid w:val="00747FB6"/>
    <w:rsid w:val="00750EE5"/>
    <w:rsid w:val="00777DE0"/>
    <w:rsid w:val="0079439F"/>
    <w:rsid w:val="00794AC3"/>
    <w:rsid w:val="007A4A8F"/>
    <w:rsid w:val="007A4AC9"/>
    <w:rsid w:val="007D5E1B"/>
    <w:rsid w:val="007D6F18"/>
    <w:rsid w:val="007F0E2D"/>
    <w:rsid w:val="007F1447"/>
    <w:rsid w:val="007F1574"/>
    <w:rsid w:val="007F7893"/>
    <w:rsid w:val="00822A7D"/>
    <w:rsid w:val="0083350C"/>
    <w:rsid w:val="00856D5C"/>
    <w:rsid w:val="008600F1"/>
    <w:rsid w:val="0087279E"/>
    <w:rsid w:val="0087477D"/>
    <w:rsid w:val="008817BA"/>
    <w:rsid w:val="00890D4E"/>
    <w:rsid w:val="008934F3"/>
    <w:rsid w:val="008B08C9"/>
    <w:rsid w:val="008B2B2F"/>
    <w:rsid w:val="008C654C"/>
    <w:rsid w:val="008C7104"/>
    <w:rsid w:val="008F4024"/>
    <w:rsid w:val="009174A3"/>
    <w:rsid w:val="00936149"/>
    <w:rsid w:val="009657DE"/>
    <w:rsid w:val="009A4347"/>
    <w:rsid w:val="009E0D79"/>
    <w:rsid w:val="009E3101"/>
    <w:rsid w:val="009E5BA8"/>
    <w:rsid w:val="009F05E9"/>
    <w:rsid w:val="009F5D4A"/>
    <w:rsid w:val="00A07506"/>
    <w:rsid w:val="00A1337F"/>
    <w:rsid w:val="00A45A40"/>
    <w:rsid w:val="00A63CAD"/>
    <w:rsid w:val="00A807E5"/>
    <w:rsid w:val="00A87A57"/>
    <w:rsid w:val="00AA07A2"/>
    <w:rsid w:val="00AC1D8E"/>
    <w:rsid w:val="00B04049"/>
    <w:rsid w:val="00B05B72"/>
    <w:rsid w:val="00B257E0"/>
    <w:rsid w:val="00B4682D"/>
    <w:rsid w:val="00B52A71"/>
    <w:rsid w:val="00B52E3A"/>
    <w:rsid w:val="00BA1008"/>
    <w:rsid w:val="00BA3B75"/>
    <w:rsid w:val="00C00FD0"/>
    <w:rsid w:val="00C132F2"/>
    <w:rsid w:val="00C47FFD"/>
    <w:rsid w:val="00C60E83"/>
    <w:rsid w:val="00C66437"/>
    <w:rsid w:val="00C77310"/>
    <w:rsid w:val="00C90695"/>
    <w:rsid w:val="00C96688"/>
    <w:rsid w:val="00CA50DD"/>
    <w:rsid w:val="00CB6A14"/>
    <w:rsid w:val="00CC3C34"/>
    <w:rsid w:val="00CD783B"/>
    <w:rsid w:val="00CF5ECE"/>
    <w:rsid w:val="00D276CB"/>
    <w:rsid w:val="00D5549B"/>
    <w:rsid w:val="00D76A47"/>
    <w:rsid w:val="00DA5CC1"/>
    <w:rsid w:val="00DD26A2"/>
    <w:rsid w:val="00DE1FC9"/>
    <w:rsid w:val="00DE4EDC"/>
    <w:rsid w:val="00E03436"/>
    <w:rsid w:val="00E06E4D"/>
    <w:rsid w:val="00E301E7"/>
    <w:rsid w:val="00E30FDA"/>
    <w:rsid w:val="00E343A7"/>
    <w:rsid w:val="00E66B02"/>
    <w:rsid w:val="00E73CF7"/>
    <w:rsid w:val="00E9222C"/>
    <w:rsid w:val="00E930F4"/>
    <w:rsid w:val="00EA0A46"/>
    <w:rsid w:val="00EB23AC"/>
    <w:rsid w:val="00F013BB"/>
    <w:rsid w:val="00F12B48"/>
    <w:rsid w:val="00F1729A"/>
    <w:rsid w:val="00F2583C"/>
    <w:rsid w:val="00F54322"/>
    <w:rsid w:val="00F64D33"/>
    <w:rsid w:val="00F835E8"/>
    <w:rsid w:val="00F95D90"/>
    <w:rsid w:val="00F97BD0"/>
    <w:rsid w:val="00FC4B90"/>
    <w:rsid w:val="00FC7731"/>
    <w:rsid w:val="00FF3E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35F3"/>
  <w15:chartTrackingRefBased/>
  <w15:docId w15:val="{BA01766A-3893-41E9-9748-ECDF308F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0F1"/>
    <w:pPr>
      <w:tabs>
        <w:tab w:val="left" w:pos="284"/>
      </w:tabs>
      <w:spacing w:after="0" w:line="240" w:lineRule="auto"/>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486853"/>
    <w:pPr>
      <w:keepNext/>
      <w:tabs>
        <w:tab w:val="clear" w:pos="284"/>
      </w:tabs>
      <w:spacing w:before="240"/>
      <w:outlineLvl w:val="0"/>
    </w:pPr>
    <w:rPr>
      <w:rFonts w:ascii="Century Gothic" w:eastAsia="MS Gothic" w:hAnsi="Century Gothic"/>
      <w:b/>
      <w:color w:val="000000"/>
      <w:sz w:val="36"/>
    </w:rPr>
  </w:style>
  <w:style w:type="paragraph" w:styleId="Overskrift2">
    <w:name w:val="heading 2"/>
    <w:basedOn w:val="Normal"/>
    <w:next w:val="Normal"/>
    <w:link w:val="Overskrift2Tegn"/>
    <w:unhideWhenUsed/>
    <w:qFormat/>
    <w:rsid w:val="002F40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nhideWhenUsed/>
    <w:qFormat/>
    <w:rsid w:val="00402270"/>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nhideWhenUsed/>
    <w:qFormat/>
    <w:rsid w:val="00402270"/>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qFormat/>
    <w:rsid w:val="00132C63"/>
    <w:pPr>
      <w:keepNext/>
      <w:outlineLvl w:val="4"/>
    </w:pPr>
    <w:rPr>
      <w:b/>
      <w:i/>
      <w:lang w:bidi="da-DK"/>
    </w:rPr>
  </w:style>
  <w:style w:type="paragraph" w:styleId="Overskrift6">
    <w:name w:val="heading 6"/>
    <w:basedOn w:val="Normal"/>
    <w:next w:val="Normal"/>
    <w:link w:val="Overskrift6Tegn"/>
    <w:qFormat/>
    <w:rsid w:val="00132C63"/>
    <w:pPr>
      <w:keepNext/>
      <w:outlineLvl w:val="5"/>
    </w:pPr>
    <w:rPr>
      <w:b/>
      <w:sz w:val="28"/>
      <w:lang w:bidi="da-DK"/>
    </w:rPr>
  </w:style>
  <w:style w:type="paragraph" w:styleId="Overskrift7">
    <w:name w:val="heading 7"/>
    <w:basedOn w:val="Normal"/>
    <w:next w:val="Normal"/>
    <w:link w:val="Overskrift7Tegn"/>
    <w:qFormat/>
    <w:rsid w:val="00132C63"/>
    <w:pPr>
      <w:keepNext/>
      <w:outlineLvl w:val="6"/>
    </w:pPr>
    <w:rPr>
      <w:b/>
      <w:lang w:bidi="da-DK"/>
    </w:rPr>
  </w:style>
  <w:style w:type="paragraph" w:styleId="Overskrift8">
    <w:name w:val="heading 8"/>
    <w:basedOn w:val="Normal"/>
    <w:next w:val="Normal"/>
    <w:link w:val="Overskrift8Tegn"/>
    <w:qFormat/>
    <w:rsid w:val="00132C63"/>
    <w:pPr>
      <w:keepNext/>
      <w:outlineLvl w:val="7"/>
    </w:pPr>
    <w:rPr>
      <w:b/>
      <w:sz w:val="28"/>
      <w:lang w:bidi="da-DK"/>
    </w:rPr>
  </w:style>
  <w:style w:type="paragraph" w:styleId="Overskrift9">
    <w:name w:val="heading 9"/>
    <w:basedOn w:val="Normal"/>
    <w:next w:val="Normal"/>
    <w:link w:val="Overskrift9Tegn"/>
    <w:qFormat/>
    <w:rsid w:val="00132C63"/>
    <w:pPr>
      <w:keepNext/>
      <w:jc w:val="both"/>
      <w:outlineLvl w:val="8"/>
    </w:pPr>
    <w:rPr>
      <w:u w:val="single"/>
      <w:lang w:bidi="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600F1"/>
    <w:pPr>
      <w:tabs>
        <w:tab w:val="center" w:pos="4819"/>
        <w:tab w:val="right" w:pos="9638"/>
      </w:tabs>
    </w:pPr>
  </w:style>
  <w:style w:type="character" w:customStyle="1" w:styleId="SidehovedTegn">
    <w:name w:val="Sidehoved Tegn"/>
    <w:basedOn w:val="Standardskrifttypeiafsnit"/>
    <w:link w:val="Sidehoved"/>
    <w:rsid w:val="008600F1"/>
    <w:rPr>
      <w:rFonts w:ascii="Times New Roman" w:hAnsi="Times New Roman"/>
      <w:sz w:val="24"/>
    </w:rPr>
  </w:style>
  <w:style w:type="paragraph" w:styleId="Sidefod">
    <w:name w:val="footer"/>
    <w:basedOn w:val="Normal"/>
    <w:link w:val="SidefodTegn"/>
    <w:unhideWhenUsed/>
    <w:rsid w:val="008600F1"/>
    <w:pPr>
      <w:tabs>
        <w:tab w:val="center" w:pos="4819"/>
        <w:tab w:val="right" w:pos="9638"/>
      </w:tabs>
    </w:pPr>
  </w:style>
  <w:style w:type="character" w:customStyle="1" w:styleId="SidefodTegn">
    <w:name w:val="Sidefod Tegn"/>
    <w:basedOn w:val="Standardskrifttypeiafsnit"/>
    <w:link w:val="Sidefod"/>
    <w:rsid w:val="008600F1"/>
    <w:rPr>
      <w:rFonts w:ascii="Times New Roman" w:hAnsi="Times New Roman"/>
      <w:sz w:val="24"/>
    </w:rPr>
  </w:style>
  <w:style w:type="character" w:customStyle="1" w:styleId="Overskrift1Tegn">
    <w:name w:val="Overskrift 1 Tegn"/>
    <w:basedOn w:val="Standardskrifttypeiafsnit"/>
    <w:link w:val="Overskrift1"/>
    <w:rsid w:val="00486853"/>
    <w:rPr>
      <w:rFonts w:ascii="Century Gothic" w:eastAsia="MS Gothic" w:hAnsi="Century Gothic" w:cs="Times New Roman"/>
      <w:b/>
      <w:color w:val="000000"/>
      <w:sz w:val="36"/>
      <w:szCs w:val="20"/>
      <w:lang w:eastAsia="da-DK"/>
    </w:rPr>
  </w:style>
  <w:style w:type="paragraph" w:styleId="Listeafsnit">
    <w:name w:val="List Paragraph"/>
    <w:basedOn w:val="Normal"/>
    <w:link w:val="ListeafsnitTegn"/>
    <w:uiPriority w:val="34"/>
    <w:qFormat/>
    <w:rsid w:val="00FC7731"/>
    <w:pPr>
      <w:ind w:left="720"/>
      <w:contextualSpacing/>
    </w:pPr>
  </w:style>
  <w:style w:type="character" w:customStyle="1" w:styleId="Overskrift2Tegn">
    <w:name w:val="Overskrift 2 Tegn"/>
    <w:basedOn w:val="Standardskrifttypeiafsnit"/>
    <w:link w:val="Overskrift2"/>
    <w:rsid w:val="002F409F"/>
    <w:rPr>
      <w:rFonts w:asciiTheme="majorHAnsi" w:eastAsiaTheme="majorEastAsia" w:hAnsiTheme="majorHAnsi" w:cstheme="majorBidi"/>
      <w:color w:val="2E74B5" w:themeColor="accent1" w:themeShade="BF"/>
      <w:sz w:val="26"/>
      <w:szCs w:val="26"/>
      <w:lang w:eastAsia="da-DK"/>
    </w:rPr>
  </w:style>
  <w:style w:type="paragraph" w:customStyle="1" w:styleId="Default">
    <w:name w:val="Default"/>
    <w:rsid w:val="002F409F"/>
    <w:pPr>
      <w:autoSpaceDE w:val="0"/>
      <w:autoSpaceDN w:val="0"/>
      <w:adjustRightInd w:val="0"/>
      <w:spacing w:after="0" w:line="240" w:lineRule="auto"/>
    </w:pPr>
    <w:rPr>
      <w:rFonts w:ascii="Century Gothic" w:eastAsia="Times New Roman" w:hAnsi="Century Gothic" w:cs="Century Gothic"/>
      <w:color w:val="000000"/>
      <w:sz w:val="24"/>
      <w:szCs w:val="24"/>
      <w:lang w:eastAsia="da-DK"/>
    </w:rPr>
  </w:style>
  <w:style w:type="paragraph" w:customStyle="1" w:styleId="p1">
    <w:name w:val="p1"/>
    <w:basedOn w:val="Normal"/>
    <w:rsid w:val="00C47FFD"/>
    <w:pPr>
      <w:tabs>
        <w:tab w:val="clear" w:pos="284"/>
      </w:tabs>
    </w:pPr>
    <w:rPr>
      <w:rFonts w:eastAsia="MS Gothic"/>
      <w:sz w:val="17"/>
      <w:szCs w:val="17"/>
    </w:rPr>
  </w:style>
  <w:style w:type="character" w:customStyle="1" w:styleId="ListeafsnitTegn">
    <w:name w:val="Listeafsnit Tegn"/>
    <w:basedOn w:val="Standardskrifttypeiafsnit"/>
    <w:link w:val="Listeafsnit"/>
    <w:uiPriority w:val="34"/>
    <w:rsid w:val="00086745"/>
    <w:rPr>
      <w:rFonts w:ascii="Times New Roman" w:eastAsia="Times New Roman" w:hAnsi="Times New Roman" w:cs="Times New Roman"/>
      <w:sz w:val="24"/>
      <w:szCs w:val="20"/>
      <w:lang w:eastAsia="da-DK"/>
    </w:rPr>
  </w:style>
  <w:style w:type="character" w:customStyle="1" w:styleId="Overskrift3Tegn">
    <w:name w:val="Overskrift 3 Tegn"/>
    <w:basedOn w:val="Standardskrifttypeiafsnit"/>
    <w:link w:val="Overskrift3"/>
    <w:rsid w:val="00402270"/>
    <w:rPr>
      <w:rFonts w:asciiTheme="majorHAnsi" w:eastAsiaTheme="majorEastAsia" w:hAnsiTheme="majorHAnsi" w:cstheme="majorBidi"/>
      <w:color w:val="1F4D78" w:themeColor="accent1" w:themeShade="7F"/>
      <w:sz w:val="24"/>
      <w:szCs w:val="24"/>
      <w:lang w:eastAsia="da-DK"/>
    </w:rPr>
  </w:style>
  <w:style w:type="character" w:customStyle="1" w:styleId="Overskrift4Tegn">
    <w:name w:val="Overskrift 4 Tegn"/>
    <w:basedOn w:val="Standardskrifttypeiafsnit"/>
    <w:link w:val="Overskrift4"/>
    <w:rsid w:val="00402270"/>
    <w:rPr>
      <w:rFonts w:asciiTheme="majorHAnsi" w:eastAsiaTheme="majorEastAsia" w:hAnsiTheme="majorHAnsi" w:cstheme="majorBidi"/>
      <w:i/>
      <w:iCs/>
      <w:color w:val="2E74B5" w:themeColor="accent1" w:themeShade="BF"/>
      <w:sz w:val="24"/>
      <w:szCs w:val="20"/>
      <w:lang w:eastAsia="da-DK"/>
    </w:rPr>
  </w:style>
  <w:style w:type="paragraph" w:styleId="Opstilling-talellerbogst">
    <w:name w:val="List Number"/>
    <w:basedOn w:val="Normal"/>
    <w:rsid w:val="00402270"/>
    <w:pPr>
      <w:numPr>
        <w:numId w:val="3"/>
      </w:numPr>
      <w:tabs>
        <w:tab w:val="clear" w:pos="207"/>
      </w:tabs>
      <w:ind w:left="0" w:firstLine="0"/>
    </w:pPr>
    <w:rPr>
      <w:lang w:bidi="da-DK"/>
    </w:rPr>
  </w:style>
  <w:style w:type="paragraph" w:customStyle="1" w:styleId="punkt">
    <w:name w:val="punkt"/>
    <w:basedOn w:val="Normal"/>
    <w:rsid w:val="00402270"/>
    <w:pPr>
      <w:tabs>
        <w:tab w:val="clear" w:pos="284"/>
      </w:tabs>
      <w:spacing w:after="240"/>
    </w:pPr>
    <w:rPr>
      <w:b/>
      <w:bCs/>
      <w:szCs w:val="24"/>
      <w:u w:val="single"/>
      <w:lang w:bidi="da-DK"/>
    </w:rPr>
  </w:style>
  <w:style w:type="table" w:styleId="Tabel-Gitter">
    <w:name w:val="Table Grid"/>
    <w:basedOn w:val="Tabel-Normal"/>
    <w:rsid w:val="00E66B02"/>
    <w:pPr>
      <w:spacing w:after="0" w:line="240" w:lineRule="auto"/>
    </w:pPr>
    <w:rPr>
      <w:rFonts w:ascii="Century Gothic" w:eastAsia="MS Gothic" w:hAnsi="Century Gothic"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link w:val="BrdtekstTegn"/>
    <w:rsid w:val="00132C63"/>
    <w:pPr>
      <w:pBdr>
        <w:top w:val="nil"/>
        <w:left w:val="nil"/>
        <w:bottom w:val="nil"/>
        <w:right w:val="nil"/>
        <w:between w:val="nil"/>
        <w:bar w:val="nil"/>
      </w:pBdr>
      <w:spacing w:line="240" w:lineRule="auto"/>
      <w:jc w:val="both"/>
    </w:pPr>
    <w:rPr>
      <w:rFonts w:ascii="Times New Roman" w:eastAsia="Arial Unicode MS" w:hAnsi="Times New Roman" w:cs="Arial Unicode MS"/>
      <w:color w:val="000000"/>
      <w:sz w:val="24"/>
      <w:szCs w:val="24"/>
      <w:u w:color="000000"/>
      <w:bdr w:val="nil"/>
      <w:lang w:val="de-DE" w:eastAsia="da-DK"/>
    </w:rPr>
  </w:style>
  <w:style w:type="character" w:customStyle="1" w:styleId="BrdtekstTegn">
    <w:name w:val="Brødtekst Tegn"/>
    <w:basedOn w:val="Standardskrifttypeiafsnit"/>
    <w:link w:val="Brdtekst"/>
    <w:rsid w:val="00132C63"/>
    <w:rPr>
      <w:rFonts w:ascii="Times New Roman" w:eastAsia="Arial Unicode MS" w:hAnsi="Times New Roman" w:cs="Arial Unicode MS"/>
      <w:color w:val="000000"/>
      <w:sz w:val="24"/>
      <w:szCs w:val="24"/>
      <w:u w:color="000000"/>
      <w:bdr w:val="nil"/>
      <w:lang w:val="de-DE" w:eastAsia="da-DK"/>
    </w:rPr>
  </w:style>
  <w:style w:type="paragraph" w:styleId="Almindeligtekst">
    <w:name w:val="Plain Text"/>
    <w:basedOn w:val="Normal"/>
    <w:link w:val="AlmindeligtekstTegn"/>
    <w:uiPriority w:val="99"/>
    <w:semiHidden/>
    <w:unhideWhenUsed/>
    <w:rsid w:val="00132C63"/>
    <w:pPr>
      <w:tabs>
        <w:tab w:val="clear" w:pos="284"/>
      </w:tabs>
    </w:pPr>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132C63"/>
    <w:rPr>
      <w:rFonts w:ascii="Calibri" w:hAnsi="Calibri"/>
      <w:szCs w:val="21"/>
    </w:rPr>
  </w:style>
  <w:style w:type="character" w:customStyle="1" w:styleId="Overskrift5Tegn">
    <w:name w:val="Overskrift 5 Tegn"/>
    <w:basedOn w:val="Standardskrifttypeiafsnit"/>
    <w:link w:val="Overskrift5"/>
    <w:rsid w:val="00132C63"/>
    <w:rPr>
      <w:rFonts w:ascii="Times New Roman" w:eastAsia="Times New Roman" w:hAnsi="Times New Roman" w:cs="Times New Roman"/>
      <w:b/>
      <w:i/>
      <w:sz w:val="24"/>
      <w:szCs w:val="20"/>
      <w:lang w:eastAsia="da-DK" w:bidi="da-DK"/>
    </w:rPr>
  </w:style>
  <w:style w:type="character" w:customStyle="1" w:styleId="Overskrift6Tegn">
    <w:name w:val="Overskrift 6 Tegn"/>
    <w:basedOn w:val="Standardskrifttypeiafsnit"/>
    <w:link w:val="Overskrift6"/>
    <w:rsid w:val="00132C63"/>
    <w:rPr>
      <w:rFonts w:ascii="Times New Roman" w:eastAsia="Times New Roman" w:hAnsi="Times New Roman" w:cs="Times New Roman"/>
      <w:b/>
      <w:sz w:val="28"/>
      <w:szCs w:val="20"/>
      <w:lang w:eastAsia="da-DK" w:bidi="da-DK"/>
    </w:rPr>
  </w:style>
  <w:style w:type="character" w:customStyle="1" w:styleId="Overskrift7Tegn">
    <w:name w:val="Overskrift 7 Tegn"/>
    <w:basedOn w:val="Standardskrifttypeiafsnit"/>
    <w:link w:val="Overskrift7"/>
    <w:rsid w:val="00132C63"/>
    <w:rPr>
      <w:rFonts w:ascii="Times New Roman" w:eastAsia="Times New Roman" w:hAnsi="Times New Roman" w:cs="Times New Roman"/>
      <w:b/>
      <w:sz w:val="24"/>
      <w:szCs w:val="20"/>
      <w:lang w:eastAsia="da-DK" w:bidi="da-DK"/>
    </w:rPr>
  </w:style>
  <w:style w:type="character" w:customStyle="1" w:styleId="Overskrift8Tegn">
    <w:name w:val="Overskrift 8 Tegn"/>
    <w:basedOn w:val="Standardskrifttypeiafsnit"/>
    <w:link w:val="Overskrift8"/>
    <w:rsid w:val="00132C63"/>
    <w:rPr>
      <w:rFonts w:ascii="Times New Roman" w:eastAsia="Times New Roman" w:hAnsi="Times New Roman" w:cs="Times New Roman"/>
      <w:b/>
      <w:sz w:val="28"/>
      <w:szCs w:val="20"/>
      <w:lang w:eastAsia="da-DK" w:bidi="da-DK"/>
    </w:rPr>
  </w:style>
  <w:style w:type="character" w:customStyle="1" w:styleId="Overskrift9Tegn">
    <w:name w:val="Overskrift 9 Tegn"/>
    <w:basedOn w:val="Standardskrifttypeiafsnit"/>
    <w:link w:val="Overskrift9"/>
    <w:rsid w:val="00132C63"/>
    <w:rPr>
      <w:rFonts w:ascii="Times New Roman" w:eastAsia="Times New Roman" w:hAnsi="Times New Roman" w:cs="Times New Roman"/>
      <w:sz w:val="24"/>
      <w:szCs w:val="20"/>
      <w:u w:val="single"/>
      <w:lang w:eastAsia="da-DK" w:bidi="da-DK"/>
    </w:rPr>
  </w:style>
  <w:style w:type="character" w:styleId="Sidetal">
    <w:name w:val="page number"/>
    <w:basedOn w:val="Standardskrifttypeiafsnit"/>
    <w:rsid w:val="00132C63"/>
  </w:style>
  <w:style w:type="paragraph" w:customStyle="1" w:styleId="Indhold-overskrift">
    <w:name w:val="Indhold - overskrift"/>
    <w:basedOn w:val="Normal"/>
    <w:rsid w:val="00132C63"/>
    <w:pPr>
      <w:spacing w:line="360" w:lineRule="auto"/>
    </w:pPr>
    <w:rPr>
      <w:b/>
      <w:lang w:bidi="da-DK"/>
    </w:rPr>
  </w:style>
  <w:style w:type="paragraph" w:customStyle="1" w:styleId="Indhold-punkter">
    <w:name w:val="Indhold - punkter"/>
    <w:basedOn w:val="Normal"/>
    <w:rsid w:val="00132C63"/>
    <w:pPr>
      <w:numPr>
        <w:numId w:val="5"/>
      </w:numPr>
      <w:tabs>
        <w:tab w:val="clear" w:pos="360"/>
      </w:tabs>
      <w:spacing w:line="360" w:lineRule="auto"/>
      <w:ind w:left="284" w:hanging="284"/>
    </w:pPr>
    <w:rPr>
      <w:b/>
      <w:lang w:bidi="da-DK"/>
    </w:rPr>
  </w:style>
  <w:style w:type="paragraph" w:customStyle="1" w:styleId="Punkt0">
    <w:name w:val="Punkt"/>
    <w:basedOn w:val="Normal"/>
    <w:next w:val="Overskrift1"/>
    <w:link w:val="PunktTegn"/>
    <w:rsid w:val="00132C63"/>
    <w:pPr>
      <w:spacing w:after="240"/>
    </w:pPr>
    <w:rPr>
      <w:b/>
      <w:u w:val="single"/>
      <w:lang w:bidi="da-DK"/>
    </w:rPr>
  </w:style>
  <w:style w:type="numbering" w:customStyle="1" w:styleId="Ingenoversigt1">
    <w:name w:val="Ingen oversigt1"/>
    <w:next w:val="Ingenoversigt"/>
    <w:uiPriority w:val="99"/>
    <w:semiHidden/>
    <w:unhideWhenUsed/>
    <w:rsid w:val="00132C63"/>
  </w:style>
  <w:style w:type="character" w:styleId="Hyperlink">
    <w:name w:val="Hyperlink"/>
    <w:aliases w:val="Link"/>
    <w:basedOn w:val="Standardskrifttypeiafsnit"/>
    <w:qFormat/>
    <w:rsid w:val="00132C63"/>
    <w:rPr>
      <w:rFonts w:ascii="Century Gothic" w:hAnsi="Century Gothic"/>
      <w:b/>
      <w:color w:val="E7E6E6" w:themeColor="background2"/>
      <w:u w:val="single"/>
    </w:rPr>
  </w:style>
  <w:style w:type="paragraph" w:styleId="Markeringsbobletekst">
    <w:name w:val="Balloon Text"/>
    <w:basedOn w:val="Normal"/>
    <w:link w:val="MarkeringsbobletekstTegn"/>
    <w:rsid w:val="00132C63"/>
    <w:rPr>
      <w:rFonts w:ascii="Tahoma" w:hAnsi="Tahoma" w:cs="Tahoma"/>
      <w:sz w:val="16"/>
      <w:szCs w:val="16"/>
      <w:lang w:bidi="da-DK"/>
    </w:rPr>
  </w:style>
  <w:style w:type="character" w:customStyle="1" w:styleId="MarkeringsbobletekstTegn">
    <w:name w:val="Markeringsbobletekst Tegn"/>
    <w:basedOn w:val="Standardskrifttypeiafsnit"/>
    <w:link w:val="Markeringsbobletekst"/>
    <w:rsid w:val="00132C63"/>
    <w:rPr>
      <w:rFonts w:ascii="Tahoma" w:eastAsia="Times New Roman" w:hAnsi="Tahoma" w:cs="Tahoma"/>
      <w:sz w:val="16"/>
      <w:szCs w:val="16"/>
      <w:lang w:eastAsia="da-DK" w:bidi="da-DK"/>
    </w:rPr>
  </w:style>
  <w:style w:type="character" w:styleId="Strk">
    <w:name w:val="Strong"/>
    <w:basedOn w:val="Standardskrifttypeiafsnit"/>
    <w:uiPriority w:val="22"/>
    <w:qFormat/>
    <w:rsid w:val="00132C63"/>
    <w:rPr>
      <w:b/>
      <w:bCs/>
    </w:rPr>
  </w:style>
  <w:style w:type="table" w:customStyle="1" w:styleId="TableNormal">
    <w:name w:val="Table Normal"/>
    <w:rsid w:val="00132C6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a-DK" w:bidi="da-DK"/>
    </w:rPr>
    <w:tblPr>
      <w:tblInd w:w="0" w:type="dxa"/>
      <w:tblCellMar>
        <w:top w:w="0" w:type="dxa"/>
        <w:left w:w="0" w:type="dxa"/>
        <w:bottom w:w="0" w:type="dxa"/>
        <w:right w:w="0" w:type="dxa"/>
      </w:tblCellMar>
    </w:tblPr>
  </w:style>
  <w:style w:type="numbering" w:customStyle="1" w:styleId="List0">
    <w:name w:val="List 0"/>
    <w:basedOn w:val="Ingenoversigt"/>
    <w:rsid w:val="00132C63"/>
    <w:pPr>
      <w:numPr>
        <w:numId w:val="6"/>
      </w:numPr>
    </w:pPr>
  </w:style>
  <w:style w:type="numbering" w:customStyle="1" w:styleId="List1">
    <w:name w:val="List 1"/>
    <w:basedOn w:val="Ingenoversigt"/>
    <w:rsid w:val="00132C63"/>
    <w:pPr>
      <w:numPr>
        <w:numId w:val="7"/>
      </w:numPr>
    </w:pPr>
  </w:style>
  <w:style w:type="numbering" w:customStyle="1" w:styleId="Opstilling21">
    <w:name w:val="Opstilling 21"/>
    <w:basedOn w:val="Ingenoversigt"/>
    <w:rsid w:val="00132C63"/>
    <w:pPr>
      <w:numPr>
        <w:numId w:val="8"/>
      </w:numPr>
    </w:pPr>
  </w:style>
  <w:style w:type="character" w:customStyle="1" w:styleId="PunktTegn">
    <w:name w:val="Punkt Tegn"/>
    <w:link w:val="Punkt0"/>
    <w:locked/>
    <w:rsid w:val="00404585"/>
    <w:rPr>
      <w:rFonts w:ascii="Times New Roman" w:eastAsia="Times New Roman" w:hAnsi="Times New Roman" w:cs="Times New Roman"/>
      <w:b/>
      <w:sz w:val="24"/>
      <w:szCs w:val="20"/>
      <w:u w:val="single"/>
      <w:lang w:eastAsia="da-DK" w:bidi="da-DK"/>
    </w:rPr>
  </w:style>
  <w:style w:type="paragraph" w:styleId="Ingenafstand">
    <w:name w:val="No Spacing"/>
    <w:uiPriority w:val="1"/>
    <w:qFormat/>
    <w:rsid w:val="00404585"/>
    <w:pPr>
      <w:spacing w:after="0" w:line="240" w:lineRule="auto"/>
    </w:pPr>
  </w:style>
  <w:style w:type="paragraph" w:styleId="NormalWeb">
    <w:name w:val="Normal (Web)"/>
    <w:basedOn w:val="Normal"/>
    <w:uiPriority w:val="99"/>
    <w:unhideWhenUsed/>
    <w:rsid w:val="003A34E1"/>
    <w:pPr>
      <w:tabs>
        <w:tab w:val="clear" w:pos="284"/>
      </w:tabs>
      <w:spacing w:before="100" w:beforeAutospacing="1" w:after="100" w:afterAutospacing="1"/>
    </w:pPr>
    <w:rPr>
      <w:rFonts w:eastAsiaTheme="minorHAnsi"/>
      <w:szCs w:val="24"/>
    </w:rPr>
  </w:style>
  <w:style w:type="numbering" w:customStyle="1" w:styleId="List01">
    <w:name w:val="List 01"/>
    <w:basedOn w:val="Ingenoversigt"/>
    <w:rsid w:val="00936149"/>
  </w:style>
  <w:style w:type="numbering" w:customStyle="1" w:styleId="List11">
    <w:name w:val="List 11"/>
    <w:basedOn w:val="Ingenoversigt"/>
    <w:rsid w:val="00936149"/>
  </w:style>
  <w:style w:type="numbering" w:customStyle="1" w:styleId="Opstilling211">
    <w:name w:val="Opstilling 211"/>
    <w:basedOn w:val="Ingenoversigt"/>
    <w:rsid w:val="00936149"/>
  </w:style>
  <w:style w:type="paragraph" w:styleId="Korrektur">
    <w:name w:val="Revision"/>
    <w:hidden/>
    <w:uiPriority w:val="99"/>
    <w:semiHidden/>
    <w:rsid w:val="00936149"/>
    <w:pPr>
      <w:spacing w:after="0" w:line="240" w:lineRule="auto"/>
    </w:pPr>
    <w:rPr>
      <w:rFonts w:ascii="Times New Roman" w:eastAsia="Times New Roman" w:hAnsi="Times New Roman" w:cs="Times New Roman"/>
      <w:sz w:val="24"/>
      <w:szCs w:val="20"/>
      <w:lang w:eastAsia="da-DK" w:bidi="da-DK"/>
    </w:rPr>
  </w:style>
  <w:style w:type="table" w:customStyle="1" w:styleId="Tabel-Gitter1">
    <w:name w:val="Tabel - Gitter1"/>
    <w:basedOn w:val="Tabel-Normal"/>
    <w:next w:val="Tabel-Gitter"/>
    <w:uiPriority w:val="39"/>
    <w:rsid w:val="00A07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2">
    <w:name w:val="List 02"/>
    <w:basedOn w:val="Ingenoversigt"/>
    <w:rsid w:val="008B2B2F"/>
  </w:style>
  <w:style w:type="numbering" w:customStyle="1" w:styleId="List12">
    <w:name w:val="List 12"/>
    <w:basedOn w:val="Ingenoversigt"/>
    <w:rsid w:val="008B2B2F"/>
  </w:style>
  <w:style w:type="numbering" w:customStyle="1" w:styleId="Opstilling212">
    <w:name w:val="Opstilling 212"/>
    <w:basedOn w:val="Ingenoversigt"/>
    <w:rsid w:val="008B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4040">
      <w:bodyDiv w:val="1"/>
      <w:marLeft w:val="0"/>
      <w:marRight w:val="0"/>
      <w:marTop w:val="0"/>
      <w:marBottom w:val="0"/>
      <w:divBdr>
        <w:top w:val="none" w:sz="0" w:space="0" w:color="auto"/>
        <w:left w:val="none" w:sz="0" w:space="0" w:color="auto"/>
        <w:bottom w:val="none" w:sz="0" w:space="0" w:color="auto"/>
        <w:right w:val="none" w:sz="0" w:space="0" w:color="auto"/>
      </w:divBdr>
    </w:div>
    <w:div w:id="13085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lovgivning.gl/lov?rid=%7bA9CD7C8F-DC91-4860-A7F0-B88BA752ED35%7d"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lovgivning.gl/lov?rid=%7bA9CD7C8F-DC91-4860-A7F0-B88BA752ED35%7d" TargetMode="External"/><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8.emf"/><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19AF-EA67-4D5B-950B-8A91FEF3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13342</Words>
  <Characters>81392</Characters>
  <Application>Microsoft Office Word</Application>
  <DocSecurity>0</DocSecurity>
  <Lines>678</Lines>
  <Paragraphs>189</Paragraphs>
  <ScaleCrop>false</ScaleCrop>
  <HeadingPairs>
    <vt:vector size="2" baseType="variant">
      <vt:variant>
        <vt:lpstr>Titel</vt:lpstr>
      </vt:variant>
      <vt:variant>
        <vt:i4>1</vt:i4>
      </vt:variant>
    </vt:vector>
  </HeadingPairs>
  <TitlesOfParts>
    <vt:vector size="1" baseType="lpstr">
      <vt:lpstr/>
    </vt:vector>
  </TitlesOfParts>
  <Company>Qeqqata Kommunia</Company>
  <LinksUpToDate>false</LinksUpToDate>
  <CharactersWithSpaces>94545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Jensen</dc:creator>
  <cp:keywords/>
  <dc:description/>
  <cp:lastModifiedBy>Eva Jensen udd.</cp:lastModifiedBy>
  <cp:revision>5</cp:revision>
  <dcterms:created xsi:type="dcterms:W3CDTF">2019-10-31T13:34:00Z</dcterms:created>
  <dcterms:modified xsi:type="dcterms:W3CDTF">2019-11-05T19:14:00Z</dcterms:modified>
</cp:coreProperties>
</file>